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2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3666" w:rsidRDefault="00693666" w:rsidP="00693666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693666">
        <w:rPr>
          <w:rFonts w:ascii="Times New Roman" w:hAnsi="Times New Roman" w:cs="Times New Roman"/>
          <w:b/>
          <w:sz w:val="28"/>
          <w:szCs w:val="28"/>
        </w:rPr>
        <w:t xml:space="preserve">Участие Управления Роспотребнадзора по Псковской области в судах общей юрисдикции </w:t>
      </w:r>
      <w:r w:rsidR="00F61B54">
        <w:rPr>
          <w:rFonts w:ascii="Times New Roman" w:hAnsi="Times New Roman" w:cs="Times New Roman"/>
          <w:b/>
          <w:sz w:val="28"/>
          <w:szCs w:val="28"/>
        </w:rPr>
        <w:t>в первом полугодии 2018</w:t>
      </w:r>
      <w:r w:rsidRPr="00693666">
        <w:rPr>
          <w:rFonts w:ascii="Times New Roman" w:hAnsi="Times New Roman" w:cs="Times New Roman"/>
          <w:b/>
          <w:sz w:val="28"/>
          <w:szCs w:val="28"/>
        </w:rPr>
        <w:t>года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93666" w:rsidRDefault="00693666" w:rsidP="0069366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Управление Роспотребнадзора по Псковской области продолжает участвовать в судах общей юрисдикции с целью дачи заключений по делам в целях защиты прав потребителей в соответствии со ст. 40 Закона РФ «О защите прав потребителей». Так </w:t>
      </w:r>
      <w:r w:rsidR="00F61B54">
        <w:rPr>
          <w:rFonts w:ascii="Times New Roman" w:hAnsi="Times New Roman" w:cs="Times New Roman"/>
          <w:sz w:val="28"/>
          <w:szCs w:val="28"/>
        </w:rPr>
        <w:t>в первом полугодии текущего года</w:t>
      </w:r>
      <w:r>
        <w:rPr>
          <w:rFonts w:ascii="Times New Roman" w:hAnsi="Times New Roman" w:cs="Times New Roman"/>
          <w:sz w:val="28"/>
          <w:szCs w:val="28"/>
        </w:rPr>
        <w:t xml:space="preserve"> дано </w:t>
      </w:r>
      <w:r w:rsidR="00F61B54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7 заключений в целях защиты прав потребителей, из них в 100% дел требования потребителей были удовлетворены. В общей сложности в пользу потребителей присуждено </w:t>
      </w:r>
      <w:r w:rsidR="00F61B54" w:rsidRPr="00F61B54">
        <w:rPr>
          <w:rFonts w:ascii="Times New Roman" w:hAnsi="Times New Roman" w:cs="Times New Roman"/>
          <w:sz w:val="28"/>
          <w:szCs w:val="28"/>
        </w:rPr>
        <w:t>1476,7</w:t>
      </w:r>
      <w:r w:rsidR="00F61B5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тыс. руб</w:t>
      </w:r>
      <w:r w:rsidR="00F61B5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, в том числе в счет компенсации нанесенного морального вреда – 6</w:t>
      </w:r>
      <w:r w:rsidR="00F61B54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,5 </w:t>
      </w:r>
      <w:proofErr w:type="spellStart"/>
      <w:r>
        <w:rPr>
          <w:rFonts w:ascii="Times New Roman" w:hAnsi="Times New Roman" w:cs="Times New Roman"/>
          <w:sz w:val="28"/>
          <w:szCs w:val="28"/>
        </w:rPr>
        <w:t>тыс.руб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693666" w:rsidRDefault="00693666" w:rsidP="0069366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4A0E12B" wp14:editId="429C5F04">
            <wp:extent cx="5038725" cy="1952625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693666" w:rsidRDefault="00693666" w:rsidP="0069366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Кроме того, Управлением Роспотребнадзора по Псковской области подаются иски в защиту нарушенных прав конкретных потребителей в рамках ст. 40 Закона РФ «О защите прав потребителей». </w:t>
      </w:r>
      <w:r w:rsidR="00F61B54">
        <w:rPr>
          <w:rFonts w:ascii="Times New Roman" w:hAnsi="Times New Roman" w:cs="Times New Roman"/>
          <w:sz w:val="28"/>
          <w:szCs w:val="28"/>
        </w:rPr>
        <w:t xml:space="preserve">В первом полугодии 2017г. подано </w:t>
      </w:r>
      <w:r>
        <w:rPr>
          <w:rFonts w:ascii="Times New Roman" w:hAnsi="Times New Roman" w:cs="Times New Roman"/>
          <w:sz w:val="28"/>
          <w:szCs w:val="28"/>
        </w:rPr>
        <w:t xml:space="preserve">6 исковых заявлений в целях защиты нарушенных прав потребителей. </w:t>
      </w:r>
      <w:r w:rsidR="00F61B54">
        <w:rPr>
          <w:rFonts w:ascii="Times New Roman" w:hAnsi="Times New Roman" w:cs="Times New Roman"/>
          <w:sz w:val="28"/>
          <w:szCs w:val="28"/>
        </w:rPr>
        <w:t>Все они рассмотрены и по ним приняты положительные решения</w:t>
      </w:r>
      <w:r>
        <w:rPr>
          <w:rFonts w:ascii="Times New Roman" w:hAnsi="Times New Roman" w:cs="Times New Roman"/>
          <w:sz w:val="28"/>
          <w:szCs w:val="28"/>
        </w:rPr>
        <w:t xml:space="preserve">. Общая сумма, присужденная в пользу потребителей по этим искам, составила </w:t>
      </w:r>
      <w:r w:rsidR="00F61B54">
        <w:rPr>
          <w:rFonts w:ascii="Times New Roman" w:hAnsi="Times New Roman" w:cs="Times New Roman"/>
          <w:sz w:val="28"/>
          <w:szCs w:val="28"/>
        </w:rPr>
        <w:t>201,8</w:t>
      </w:r>
      <w:r>
        <w:rPr>
          <w:rFonts w:ascii="Times New Roman" w:hAnsi="Times New Roman" w:cs="Times New Roman"/>
          <w:sz w:val="28"/>
          <w:szCs w:val="28"/>
        </w:rPr>
        <w:t xml:space="preserve">тыс. руб., из них </w:t>
      </w:r>
      <w:r w:rsidR="00F61B54">
        <w:rPr>
          <w:rFonts w:ascii="Times New Roman" w:hAnsi="Times New Roman" w:cs="Times New Roman"/>
          <w:sz w:val="28"/>
          <w:szCs w:val="28"/>
        </w:rPr>
        <w:t>9,8</w:t>
      </w:r>
      <w:r>
        <w:rPr>
          <w:rFonts w:ascii="Times New Roman" w:hAnsi="Times New Roman" w:cs="Times New Roman"/>
          <w:sz w:val="28"/>
          <w:szCs w:val="28"/>
        </w:rPr>
        <w:t xml:space="preserve"> тыс. руб. (</w:t>
      </w:r>
      <w:r w:rsidR="00F61B54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%) в счет компенсации морального вреда и </w:t>
      </w:r>
      <w:r w:rsidR="00F61B54">
        <w:rPr>
          <w:rFonts w:ascii="Times New Roman" w:hAnsi="Times New Roman" w:cs="Times New Roman"/>
          <w:sz w:val="28"/>
          <w:szCs w:val="28"/>
        </w:rPr>
        <w:t>44,6</w:t>
      </w:r>
      <w:r w:rsidRPr="00A80A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AC7">
        <w:rPr>
          <w:rFonts w:ascii="Times New Roman" w:hAnsi="Times New Roman" w:cs="Times New Roman"/>
          <w:sz w:val="28"/>
          <w:szCs w:val="28"/>
        </w:rPr>
        <w:t>тыс.руб</w:t>
      </w:r>
      <w:proofErr w:type="spellEnd"/>
      <w:r w:rsidRPr="00A80AC7">
        <w:rPr>
          <w:rFonts w:ascii="Times New Roman" w:hAnsi="Times New Roman" w:cs="Times New Roman"/>
          <w:sz w:val="28"/>
          <w:szCs w:val="28"/>
        </w:rPr>
        <w:t>. (</w:t>
      </w:r>
      <w:r w:rsidR="00F61B54">
        <w:rPr>
          <w:rFonts w:ascii="Times New Roman" w:hAnsi="Times New Roman" w:cs="Times New Roman"/>
          <w:sz w:val="28"/>
          <w:szCs w:val="28"/>
        </w:rPr>
        <w:t>22</w:t>
      </w:r>
      <w:r w:rsidRPr="00A80AC7">
        <w:rPr>
          <w:rFonts w:ascii="Times New Roman" w:hAnsi="Times New Roman" w:cs="Times New Roman"/>
          <w:sz w:val="28"/>
          <w:szCs w:val="28"/>
        </w:rPr>
        <w:t>%)</w:t>
      </w:r>
      <w:r>
        <w:rPr>
          <w:rFonts w:ascii="Times New Roman" w:hAnsi="Times New Roman" w:cs="Times New Roman"/>
          <w:sz w:val="28"/>
          <w:szCs w:val="28"/>
        </w:rPr>
        <w:t xml:space="preserve"> было наложено штрафов в пользу потребителей за невыполнение требования потребителя в добровольном порядке. </w:t>
      </w:r>
    </w:p>
    <w:p w:rsidR="00693666" w:rsidRDefault="00693666" w:rsidP="0069366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7039947" wp14:editId="31CF8DE8">
            <wp:extent cx="5048250" cy="2390775"/>
            <wp:effectExtent l="0" t="0" r="0" b="9525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C1048B" w:rsidRPr="00A3069B" w:rsidRDefault="00A3069B" w:rsidP="00A3069B">
      <w:pPr>
        <w:spacing w:after="0" w:line="240" w:lineRule="auto"/>
        <w:ind w:firstLine="708"/>
        <w:jc w:val="both"/>
        <w:rPr>
          <w:sz w:val="28"/>
          <w:szCs w:val="28"/>
        </w:rPr>
      </w:pPr>
      <w:bookmarkStart w:id="0" w:name="_GoBack"/>
      <w:r w:rsidRPr="00A3069B">
        <w:rPr>
          <w:rFonts w:ascii="Times New Roman" w:hAnsi="Times New Roman" w:cs="Times New Roman"/>
          <w:sz w:val="28"/>
          <w:szCs w:val="28"/>
        </w:rPr>
        <w:t>Напоминаем, что на сайте Федеральной службы по надзору в сфере защиты прав потребителей и благополучия человека (</w:t>
      </w:r>
      <w:hyperlink r:id="rId6" w:history="1">
        <w:r w:rsidRPr="00A3069B">
          <w:rPr>
            <w:rStyle w:val="a5"/>
            <w:rFonts w:ascii="Times New Roman" w:hAnsi="Times New Roman" w:cs="Times New Roman"/>
            <w:sz w:val="28"/>
            <w:szCs w:val="28"/>
          </w:rPr>
          <w:t>zpp.rospotrebnadzor.ru</w:t>
        </w:r>
      </w:hyperlink>
      <w:r w:rsidRPr="00A3069B">
        <w:rPr>
          <w:rFonts w:ascii="Times New Roman" w:hAnsi="Times New Roman" w:cs="Times New Roman"/>
          <w:sz w:val="28"/>
          <w:szCs w:val="28"/>
        </w:rPr>
        <w:t xml:space="preserve">) создан государственный информационный ресурс в области защиты прав потребителей </w:t>
      </w:r>
      <w:r w:rsidRPr="00A3069B">
        <w:rPr>
          <w:rFonts w:ascii="Times New Roman" w:hAnsi="Times New Roman" w:cs="Times New Roman"/>
          <w:sz w:val="28"/>
          <w:szCs w:val="28"/>
        </w:rPr>
        <w:lastRenderedPageBreak/>
        <w:t>(ГИС ЗПП) где можно ознакомиться с практикой Роспотребнадзора, советами потребителям на актуальные темы, задать</w:t>
      </w:r>
      <w:r w:rsidRPr="00A3069B">
        <w:rPr>
          <w:rFonts w:ascii="Times New Roman" w:hAnsi="Times New Roman" w:cs="Times New Roman"/>
          <w:sz w:val="28"/>
          <w:szCs w:val="28"/>
        </w:rPr>
        <w:t xml:space="preserve"> интересующий вас вопрос и т.д.</w:t>
      </w:r>
      <w:bookmarkEnd w:id="0"/>
    </w:p>
    <w:sectPr w:rsidR="00C1048B" w:rsidRPr="00A3069B" w:rsidSect="00693666">
      <w:pgSz w:w="11906" w:h="16838"/>
      <w:pgMar w:top="851" w:right="850" w:bottom="142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4783"/>
    <w:rsid w:val="000009A0"/>
    <w:rsid w:val="0000166A"/>
    <w:rsid w:val="00014B73"/>
    <w:rsid w:val="00016C17"/>
    <w:rsid w:val="00022964"/>
    <w:rsid w:val="000273A0"/>
    <w:rsid w:val="000372C9"/>
    <w:rsid w:val="000410E1"/>
    <w:rsid w:val="00050BD9"/>
    <w:rsid w:val="00051543"/>
    <w:rsid w:val="00054DFB"/>
    <w:rsid w:val="00066DEA"/>
    <w:rsid w:val="00067CAE"/>
    <w:rsid w:val="00084557"/>
    <w:rsid w:val="000A3F03"/>
    <w:rsid w:val="000A65DA"/>
    <w:rsid w:val="000B0DF2"/>
    <w:rsid w:val="000B3639"/>
    <w:rsid w:val="000C2A9B"/>
    <w:rsid w:val="000D6B8D"/>
    <w:rsid w:val="00112E27"/>
    <w:rsid w:val="00117B91"/>
    <w:rsid w:val="00122207"/>
    <w:rsid w:val="00137532"/>
    <w:rsid w:val="001441B3"/>
    <w:rsid w:val="0014475A"/>
    <w:rsid w:val="0015330A"/>
    <w:rsid w:val="00174C22"/>
    <w:rsid w:val="00191FBD"/>
    <w:rsid w:val="001C596C"/>
    <w:rsid w:val="001C7DC8"/>
    <w:rsid w:val="001E7A25"/>
    <w:rsid w:val="001F0959"/>
    <w:rsid w:val="001F4304"/>
    <w:rsid w:val="00230069"/>
    <w:rsid w:val="00236491"/>
    <w:rsid w:val="00252970"/>
    <w:rsid w:val="00263A71"/>
    <w:rsid w:val="002774B5"/>
    <w:rsid w:val="00286145"/>
    <w:rsid w:val="002A11FE"/>
    <w:rsid w:val="002B3F29"/>
    <w:rsid w:val="002D1BD7"/>
    <w:rsid w:val="002E7D6B"/>
    <w:rsid w:val="00310E44"/>
    <w:rsid w:val="0034338B"/>
    <w:rsid w:val="00360192"/>
    <w:rsid w:val="003842DA"/>
    <w:rsid w:val="00394783"/>
    <w:rsid w:val="003B2DF5"/>
    <w:rsid w:val="003C484C"/>
    <w:rsid w:val="003D742A"/>
    <w:rsid w:val="003E7608"/>
    <w:rsid w:val="003F746A"/>
    <w:rsid w:val="00405B33"/>
    <w:rsid w:val="0041358C"/>
    <w:rsid w:val="004170BB"/>
    <w:rsid w:val="0043170C"/>
    <w:rsid w:val="00443B88"/>
    <w:rsid w:val="004442E8"/>
    <w:rsid w:val="004536DA"/>
    <w:rsid w:val="0045406C"/>
    <w:rsid w:val="00471909"/>
    <w:rsid w:val="0047525A"/>
    <w:rsid w:val="004820AF"/>
    <w:rsid w:val="00482AF2"/>
    <w:rsid w:val="00497D2E"/>
    <w:rsid w:val="004A135A"/>
    <w:rsid w:val="004D7F75"/>
    <w:rsid w:val="004F00D3"/>
    <w:rsid w:val="005070BA"/>
    <w:rsid w:val="005273C0"/>
    <w:rsid w:val="00535C7E"/>
    <w:rsid w:val="00542B2C"/>
    <w:rsid w:val="005631D3"/>
    <w:rsid w:val="00563481"/>
    <w:rsid w:val="00584EB1"/>
    <w:rsid w:val="005B3286"/>
    <w:rsid w:val="005B7B76"/>
    <w:rsid w:val="005C4478"/>
    <w:rsid w:val="005D1DAC"/>
    <w:rsid w:val="005D29EE"/>
    <w:rsid w:val="005D6E55"/>
    <w:rsid w:val="005E4438"/>
    <w:rsid w:val="005F72C6"/>
    <w:rsid w:val="00625C99"/>
    <w:rsid w:val="00627612"/>
    <w:rsid w:val="00636E3A"/>
    <w:rsid w:val="0064237F"/>
    <w:rsid w:val="00642387"/>
    <w:rsid w:val="00650A72"/>
    <w:rsid w:val="006552C5"/>
    <w:rsid w:val="00663BD9"/>
    <w:rsid w:val="006668B1"/>
    <w:rsid w:val="00692262"/>
    <w:rsid w:val="00693666"/>
    <w:rsid w:val="006B7F5F"/>
    <w:rsid w:val="006C1E72"/>
    <w:rsid w:val="006C4575"/>
    <w:rsid w:val="006C522D"/>
    <w:rsid w:val="006C6598"/>
    <w:rsid w:val="006D2B51"/>
    <w:rsid w:val="006D576E"/>
    <w:rsid w:val="006D6F6D"/>
    <w:rsid w:val="006E0C14"/>
    <w:rsid w:val="006F348B"/>
    <w:rsid w:val="006F6726"/>
    <w:rsid w:val="00701FF2"/>
    <w:rsid w:val="00707692"/>
    <w:rsid w:val="007160E3"/>
    <w:rsid w:val="00754B23"/>
    <w:rsid w:val="007613BA"/>
    <w:rsid w:val="0076144F"/>
    <w:rsid w:val="0076598D"/>
    <w:rsid w:val="00792A90"/>
    <w:rsid w:val="007B7149"/>
    <w:rsid w:val="007D2C01"/>
    <w:rsid w:val="00810828"/>
    <w:rsid w:val="00810CD4"/>
    <w:rsid w:val="00812331"/>
    <w:rsid w:val="0081341F"/>
    <w:rsid w:val="00820139"/>
    <w:rsid w:val="00820525"/>
    <w:rsid w:val="00861466"/>
    <w:rsid w:val="008638A0"/>
    <w:rsid w:val="00870620"/>
    <w:rsid w:val="00883AB9"/>
    <w:rsid w:val="00885135"/>
    <w:rsid w:val="00893886"/>
    <w:rsid w:val="00895106"/>
    <w:rsid w:val="008D5498"/>
    <w:rsid w:val="00900239"/>
    <w:rsid w:val="0091792E"/>
    <w:rsid w:val="00922216"/>
    <w:rsid w:val="00936EBD"/>
    <w:rsid w:val="00937129"/>
    <w:rsid w:val="00957E49"/>
    <w:rsid w:val="009619DD"/>
    <w:rsid w:val="009A0BD0"/>
    <w:rsid w:val="009B46BD"/>
    <w:rsid w:val="009B7AEE"/>
    <w:rsid w:val="009D1953"/>
    <w:rsid w:val="009D4D9A"/>
    <w:rsid w:val="009D62A1"/>
    <w:rsid w:val="009E045D"/>
    <w:rsid w:val="009E6B1D"/>
    <w:rsid w:val="00A041F9"/>
    <w:rsid w:val="00A1036D"/>
    <w:rsid w:val="00A12CA2"/>
    <w:rsid w:val="00A3069B"/>
    <w:rsid w:val="00A32585"/>
    <w:rsid w:val="00A43796"/>
    <w:rsid w:val="00A6679C"/>
    <w:rsid w:val="00A6755B"/>
    <w:rsid w:val="00A75B6A"/>
    <w:rsid w:val="00A803DE"/>
    <w:rsid w:val="00AA04E7"/>
    <w:rsid w:val="00AA38F0"/>
    <w:rsid w:val="00AB136A"/>
    <w:rsid w:val="00AB4A0F"/>
    <w:rsid w:val="00AC1F54"/>
    <w:rsid w:val="00AC3E88"/>
    <w:rsid w:val="00AD5D68"/>
    <w:rsid w:val="00AE1FFF"/>
    <w:rsid w:val="00AE7DF6"/>
    <w:rsid w:val="00AF7F1E"/>
    <w:rsid w:val="00B0234A"/>
    <w:rsid w:val="00B04085"/>
    <w:rsid w:val="00B04C5F"/>
    <w:rsid w:val="00B069BC"/>
    <w:rsid w:val="00B06C52"/>
    <w:rsid w:val="00B220B1"/>
    <w:rsid w:val="00B3659A"/>
    <w:rsid w:val="00B4594D"/>
    <w:rsid w:val="00B56711"/>
    <w:rsid w:val="00B91279"/>
    <w:rsid w:val="00B92F21"/>
    <w:rsid w:val="00BA5572"/>
    <w:rsid w:val="00BC4012"/>
    <w:rsid w:val="00BD28FA"/>
    <w:rsid w:val="00BE2771"/>
    <w:rsid w:val="00C0040F"/>
    <w:rsid w:val="00C1048B"/>
    <w:rsid w:val="00C30CAB"/>
    <w:rsid w:val="00C44FD3"/>
    <w:rsid w:val="00C4642F"/>
    <w:rsid w:val="00C76275"/>
    <w:rsid w:val="00C87D89"/>
    <w:rsid w:val="00C90EEC"/>
    <w:rsid w:val="00C92BA9"/>
    <w:rsid w:val="00CA2200"/>
    <w:rsid w:val="00CC017A"/>
    <w:rsid w:val="00CE4132"/>
    <w:rsid w:val="00CF1E05"/>
    <w:rsid w:val="00CF66C3"/>
    <w:rsid w:val="00D033D8"/>
    <w:rsid w:val="00D14A85"/>
    <w:rsid w:val="00D1638B"/>
    <w:rsid w:val="00D24253"/>
    <w:rsid w:val="00D40BF2"/>
    <w:rsid w:val="00D466D9"/>
    <w:rsid w:val="00D47C37"/>
    <w:rsid w:val="00D518D9"/>
    <w:rsid w:val="00D51C51"/>
    <w:rsid w:val="00D5485C"/>
    <w:rsid w:val="00D60F9A"/>
    <w:rsid w:val="00DB220C"/>
    <w:rsid w:val="00DF276B"/>
    <w:rsid w:val="00E037D1"/>
    <w:rsid w:val="00E05438"/>
    <w:rsid w:val="00E06329"/>
    <w:rsid w:val="00E247BD"/>
    <w:rsid w:val="00E36AA4"/>
    <w:rsid w:val="00E37780"/>
    <w:rsid w:val="00E42B17"/>
    <w:rsid w:val="00E53539"/>
    <w:rsid w:val="00E6550C"/>
    <w:rsid w:val="00E65586"/>
    <w:rsid w:val="00E93308"/>
    <w:rsid w:val="00E943F5"/>
    <w:rsid w:val="00E96FE8"/>
    <w:rsid w:val="00EB001F"/>
    <w:rsid w:val="00F13FA2"/>
    <w:rsid w:val="00F169C1"/>
    <w:rsid w:val="00F20CCA"/>
    <w:rsid w:val="00F24FD8"/>
    <w:rsid w:val="00F32AC3"/>
    <w:rsid w:val="00F53B10"/>
    <w:rsid w:val="00F54C8A"/>
    <w:rsid w:val="00F61B54"/>
    <w:rsid w:val="00F63646"/>
    <w:rsid w:val="00F812A4"/>
    <w:rsid w:val="00F95812"/>
    <w:rsid w:val="00FA6BA0"/>
    <w:rsid w:val="00FB07EE"/>
    <w:rsid w:val="00FC0A36"/>
    <w:rsid w:val="00FF6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1BC3F3"/>
  <w15:chartTrackingRefBased/>
  <w15:docId w15:val="{135CB09D-0CD8-4C22-A2C4-0446BF8BA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36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1B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61B54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A3069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587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C:\Users\USER\Documents\&#1089;&#1072;&#1081;&#1090;\zpp.rospotrebnadzor.ru" TargetMode="External"/><Relationship Id="rId5" Type="http://schemas.openxmlformats.org/officeDocument/2006/relationships/chart" Target="charts/chart2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oleObject" Target="file:///C:\Users\USER\Desktop\13.07.xlsx" TargetMode="Externa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oleObject" Target="file:///C:\Users\USER\Desktop\13.07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1" i="0" u="none" strike="noStrike" kern="1200" spc="100" baseline="0">
                <a:solidFill>
                  <a:schemeClr val="lt1">
                    <a:lumMod val="95000"/>
                  </a:schemeClr>
                </a:solidFill>
                <a:effectLst>
                  <a:outerShdw blurRad="50800" dist="38100" dir="5400000" algn="t" rotWithShape="0">
                    <a:prstClr val="black">
                      <a:alpha val="40000"/>
                    </a:prstClr>
                  </a:outerShdw>
                </a:effectLst>
                <a:latin typeface="+mn-lt"/>
                <a:ea typeface="+mn-ea"/>
                <a:cs typeface="+mn-cs"/>
              </a:defRPr>
            </a:pPr>
            <a:r>
              <a:rPr lang="ru-RU" sz="1200"/>
              <a:t>Структура присужденных в поьзу потребителей денежных средств по делам, по которым давалось заключение (в тыс. рублей)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spc="100" baseline="0">
              <a:solidFill>
                <a:schemeClr val="lt1">
                  <a:lumMod val="95000"/>
                </a:schemeClr>
              </a:solidFill>
              <a:effectLst>
                <a:outerShdw blurRad="50800" dist="38100" dir="5400000" algn="t" rotWithShape="0">
                  <a:prstClr val="black">
                    <a:alpha val="40000"/>
                  </a:prstClr>
                </a:outerShdw>
              </a:effectLst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bar"/>
        <c:grouping val="clustered"/>
        <c:varyColors val="0"/>
        <c:ser>
          <c:idx val="2"/>
          <c:order val="2"/>
          <c:tx>
            <c:strRef>
              <c:f>Лист1!$A$52</c:f>
              <c:strCache>
                <c:ptCount val="1"/>
                <c:pt idx="0">
                  <c:v>общая сумма присужденных</c:v>
                </c:pt>
              </c:strCache>
            </c:strRef>
          </c:tx>
          <c:spPr>
            <a:gradFill rotWithShape="1">
              <a:gsLst>
                <a:gs pos="0">
                  <a:schemeClr val="accent3">
                    <a:satMod val="103000"/>
                    <a:lumMod val="102000"/>
                    <a:tint val="94000"/>
                  </a:schemeClr>
                </a:gs>
                <a:gs pos="50000">
                  <a:schemeClr val="accent3">
                    <a:satMod val="110000"/>
                    <a:lumMod val="100000"/>
                    <a:shade val="100000"/>
                  </a:schemeClr>
                </a:gs>
                <a:gs pos="100000">
                  <a:schemeClr val="accent3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1476,7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A39F-4089-9F1A-0A3F120A9F8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lt1">
                        <a:lumMod val="8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lt1">
                          <a:lumMod val="95000"/>
                          <a:alpha val="54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val>
            <c:numRef>
              <c:f>Лист1!$B$52</c:f>
              <c:numCache>
                <c:formatCode>General</c:formatCode>
                <c:ptCount val="1"/>
                <c:pt idx="0">
                  <c:v>841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41B-4AE1-A775-6D42FB0E0560}"/>
            </c:ext>
          </c:extLst>
        </c:ser>
        <c:ser>
          <c:idx val="3"/>
          <c:order val="3"/>
          <c:tx>
            <c:strRef>
              <c:f>Лист1!$A$51</c:f>
              <c:strCache>
                <c:ptCount val="1"/>
                <c:pt idx="0">
                  <c:v>из них в счет компенсации морального вреда</c:v>
                </c:pt>
              </c:strCache>
            </c:strRef>
          </c:tx>
          <c:spPr>
            <a:gradFill rotWithShape="1">
              <a:gsLst>
                <a:gs pos="0">
                  <a:schemeClr val="accent4">
                    <a:satMod val="103000"/>
                    <a:lumMod val="102000"/>
                    <a:tint val="94000"/>
                  </a:schemeClr>
                </a:gs>
                <a:gs pos="50000">
                  <a:schemeClr val="accent4">
                    <a:satMod val="110000"/>
                    <a:lumMod val="100000"/>
                    <a:shade val="100000"/>
                  </a:schemeClr>
                </a:gs>
                <a:gs pos="100000">
                  <a:schemeClr val="accent4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61,5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A39F-4089-9F1A-0A3F120A9F8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lt1">
                        <a:lumMod val="8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lt1">
                          <a:lumMod val="95000"/>
                          <a:alpha val="54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val>
            <c:numRef>
              <c:f>Лист1!$B$51</c:f>
              <c:numCache>
                <c:formatCode>General</c:formatCode>
                <c:ptCount val="1"/>
                <c:pt idx="0">
                  <c:v>67.5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41B-4AE1-A775-6D42FB0E056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15"/>
        <c:overlap val="-20"/>
        <c:axId val="696759679"/>
        <c:axId val="696760511"/>
        <c:extLst>
          <c:ext xmlns:c15="http://schemas.microsoft.com/office/drawing/2012/chart" uri="{02D57815-91ED-43cb-92C2-25804820EDAC}">
            <c15:filteredBarSeries>
              <c15:ser>
                <c:idx val="0"/>
                <c:order val="0"/>
                <c:tx>
                  <c:strRef>
                    <c:extLst>
                      <c:ext uri="{02D57815-91ED-43cb-92C2-25804820EDAC}">
                        <c15:formulaRef>
                          <c15:sqref>Лист1!$A$48</c15:sqref>
                        </c15:formulaRef>
                      </c:ext>
                    </c:extLst>
                    <c:strCache>
                      <c:ptCount val="1"/>
                      <c:pt idx="0">
                        <c:v>Структура присужденных в поьзу потребителей денежных средств по делам, по которым давалось заключение</c:v>
                      </c:pt>
                    </c:strCache>
                  </c:strRef>
                </c:tx>
                <c:spPr>
                  <a:gradFill rotWithShape="1">
                    <a:gsLst>
                      <a:gs pos="0">
                        <a:schemeClr val="accent1">
                          <a:satMod val="103000"/>
                          <a:lumMod val="102000"/>
                          <a:tint val="94000"/>
                        </a:schemeClr>
                      </a:gs>
                      <a:gs pos="50000">
                        <a:schemeClr val="accent1">
                          <a:satMod val="110000"/>
                          <a:lumMod val="100000"/>
                          <a:shade val="100000"/>
                        </a:schemeClr>
                      </a:gs>
                      <a:gs pos="100000">
                        <a:schemeClr val="accent1">
                          <a:lumMod val="99000"/>
                          <a:satMod val="120000"/>
                          <a:shade val="78000"/>
                        </a:schemeClr>
                      </a:gs>
                    </a:gsLst>
                    <a:lin ang="5400000" scaled="0"/>
                  </a:gradFill>
                  <a:ln>
                    <a:noFill/>
                  </a:ln>
                  <a:effectLst>
                    <a:outerShdw blurRad="57150" dist="19050" dir="5400000" algn="ctr" rotWithShape="0">
                      <a:srgbClr val="000000">
                        <a:alpha val="63000"/>
                      </a:srgbClr>
                    </a:outerShdw>
                  </a:effectLst>
                </c:spPr>
                <c:invertIfNegative val="0"/>
                <c:val>
                  <c:numRef>
                    <c:extLst>
                      <c:ext uri="{02D57815-91ED-43cb-92C2-25804820EDAC}">
                        <c15:formulaRef>
                          <c15:sqref>Лист1!$B$48</c15:sqref>
                        </c15:formulaRef>
                      </c:ext>
                    </c:extLst>
                    <c:numCache>
                      <c:formatCode>General</c:formatCode>
                      <c:ptCount val="1"/>
                    </c:numCache>
                  </c:numRef>
                </c:val>
                <c:extLst>
                  <c:ext xmlns:c16="http://schemas.microsoft.com/office/drawing/2014/chart" uri="{C3380CC4-5D6E-409C-BE32-E72D297353CC}">
                    <c16:uniqueId val="{00000002-441B-4AE1-A775-6D42FB0E0560}"/>
                  </c:ext>
                </c:extLst>
              </c15:ser>
            </c15:filteredBarSeries>
            <c15:filteredBarSeries>
              <c15:ser>
                <c:idx val="1"/>
                <c:order val="1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Лист1!$A$49</c15:sqref>
                        </c15:formulaRef>
                      </c:ext>
                    </c:extLst>
                    <c:strCache>
                      <c:ptCount val="1"/>
                    </c:strCache>
                  </c:strRef>
                </c:tx>
                <c:spPr>
                  <a:gradFill rotWithShape="1">
                    <a:gsLst>
                      <a:gs pos="0">
                        <a:schemeClr val="accent2">
                          <a:satMod val="103000"/>
                          <a:lumMod val="102000"/>
                          <a:tint val="94000"/>
                        </a:schemeClr>
                      </a:gs>
                      <a:gs pos="50000">
                        <a:schemeClr val="accent2">
                          <a:satMod val="110000"/>
                          <a:lumMod val="100000"/>
                          <a:shade val="100000"/>
                        </a:schemeClr>
                      </a:gs>
                      <a:gs pos="100000">
                        <a:schemeClr val="accent2">
                          <a:lumMod val="99000"/>
                          <a:satMod val="120000"/>
                          <a:shade val="78000"/>
                        </a:schemeClr>
                      </a:gs>
                    </a:gsLst>
                    <a:lin ang="5400000" scaled="0"/>
                  </a:gradFill>
                  <a:ln>
                    <a:noFill/>
                  </a:ln>
                  <a:effectLst>
                    <a:outerShdw blurRad="57150" dist="19050" dir="5400000" algn="ctr" rotWithShape="0">
                      <a:srgbClr val="000000">
                        <a:alpha val="63000"/>
                      </a:srgbClr>
                    </a:outerShdw>
                  </a:effectLst>
                </c:spPr>
                <c:invertIfNegative val="0"/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Лист1!$B$49</c15:sqref>
                        </c15:formulaRef>
                      </c:ext>
                    </c:extLst>
                    <c:numCache>
                      <c:formatCode>General</c:formatCode>
                      <c:ptCount val="1"/>
                      <c:pt idx="0">
                        <c:v>0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3-441B-4AE1-A775-6D42FB0E0560}"/>
                  </c:ext>
                </c:extLst>
              </c15:ser>
            </c15:filteredBarSeries>
          </c:ext>
        </c:extLst>
      </c:barChart>
      <c:catAx>
        <c:axId val="696759679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696760511"/>
        <c:crosses val="autoZero"/>
        <c:auto val="1"/>
        <c:lblAlgn val="ctr"/>
        <c:lblOffset val="100"/>
        <c:noMultiLvlLbl val="0"/>
      </c:catAx>
      <c:valAx>
        <c:axId val="696760511"/>
        <c:scaling>
          <c:orientation val="minMax"/>
        </c:scaling>
        <c:delete val="1"/>
        <c:axPos val="b"/>
        <c:majorGridlines>
          <c:spPr>
            <a:ln w="9525" cap="flat" cmpd="sng" algn="ctr">
              <a:solidFill>
                <a:schemeClr val="lt1">
                  <a:lumMod val="95000"/>
                  <a:alpha val="10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crossAx val="696759679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lt1">
                  <a:lumMod val="8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dk1">
            <a:lumMod val="65000"/>
            <a:lumOff val="35000"/>
          </a:schemeClr>
        </a:gs>
        <a:gs pos="100000">
          <a:schemeClr val="dk1">
            <a:lumMod val="85000"/>
            <a:lumOff val="15000"/>
          </a:schemeClr>
        </a:gs>
      </a:gsLst>
      <a:path path="circle">
        <a:fillToRect l="50000" t="50000" r="50000" b="50000"/>
      </a:path>
      <a:tileRect/>
    </a:gradFill>
    <a:ln>
      <a:noFill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800" b="1" i="0" u="none" strike="noStrike" kern="1200" cap="all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800" b="0" i="0" u="none" strike="noStrike" cap="all" baseline="0">
                <a:effectLst/>
              </a:rPr>
              <a:t>Структура присужденых денежных средств  в пользу потребителей по искам Управления Роспотребнадзора  по Псковской области </a:t>
            </a:r>
            <a:r>
              <a:rPr lang="ru-RU" sz="800" b="1" i="0" u="none" strike="noStrike" cap="all" baseline="0"/>
              <a:t> </a:t>
            </a:r>
            <a:endParaRPr lang="ru-RU" sz="800"/>
          </a:p>
        </c:rich>
      </c:tx>
      <c:layout>
        <c:manualLayout>
          <c:xMode val="edge"/>
          <c:yMode val="edge"/>
          <c:x val="0.10868162774372112"/>
          <c:y val="3.7037166153844503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1" i="0" u="none" strike="noStrike" kern="1200" cap="all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>
              <c:ext xmlns:c16="http://schemas.microsoft.com/office/drawing/2014/chart" uri="{C3380CC4-5D6E-409C-BE32-E72D297353CC}">
                <c16:uniqueId val="{00000001-6387-4497-A157-EEE2D1F0F261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>
              <c:ext xmlns:c16="http://schemas.microsoft.com/office/drawing/2014/chart" uri="{C3380CC4-5D6E-409C-BE32-E72D297353CC}">
                <c16:uniqueId val="{00000003-6387-4497-A157-EEE2D1F0F261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>
              <c:ext xmlns:c16="http://schemas.microsoft.com/office/drawing/2014/chart" uri="{C3380CC4-5D6E-409C-BE32-E72D297353CC}">
                <c16:uniqueId val="{00000005-6387-4497-A157-EEE2D1F0F261}"/>
              </c:ext>
            </c:extLst>
          </c:dPt>
          <c:dLbls>
            <c:dLbl>
              <c:idx val="0"/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1000" b="1" i="0" u="none" strike="noStrike" kern="1200" spc="0" baseline="0">
                        <a:solidFill>
                          <a:schemeClr val="accent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FB35CE00-309D-49E0-971B-4427AF339143}" type="CATEGORYNAME">
                      <a:rPr lang="ru-RU"/>
                      <a:pPr>
                        <a:defRPr/>
                      </a:pPr>
                      <a:t>[ИМЯ КАТЕГОРИИ]</a:t>
                    </a:fld>
                    <a:r>
                      <a:rPr lang="ru-RU" baseline="0"/>
                      <a:t>
73%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6387-4497-A157-EEE2D1F0F261}"/>
                </c:ext>
              </c:extLst>
            </c:dLbl>
            <c:dLbl>
              <c:idx val="1"/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1000" b="1" i="0" u="none" strike="noStrike" kern="1200" spc="0" baseline="0">
                        <a:solidFill>
                          <a:schemeClr val="accent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CD88CDE4-9A14-490D-AAED-63B075465C32}" type="CATEGORYNAME">
                      <a:rPr lang="ru-RU"/>
                      <a:pPr>
                        <a:defRPr>
                          <a:solidFill>
                            <a:schemeClr val="accent1"/>
                          </a:solidFill>
                        </a:defRPr>
                      </a:pPr>
                      <a:t>[ИМЯ КАТЕГОРИИ]</a:t>
                    </a:fld>
                    <a:r>
                      <a:rPr lang="ru-RU" baseline="0"/>
                      <a:t>
5%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3-6387-4497-A157-EEE2D1F0F261}"/>
                </c:ext>
              </c:extLst>
            </c:dLbl>
            <c:dLbl>
              <c:idx val="2"/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1000" b="1" i="0" u="none" strike="noStrike" kern="1200" spc="0" baseline="0">
                        <a:solidFill>
                          <a:schemeClr val="accent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847AF492-7072-478D-B648-69AB329CA895}" type="CATEGORYNAME">
                      <a:rPr lang="ru-RU"/>
                      <a:pPr>
                        <a:defRPr>
                          <a:solidFill>
                            <a:schemeClr val="accent1"/>
                          </a:solidFill>
                        </a:defRPr>
                      </a:pPr>
                      <a:t>[ИМЯ КАТЕГОРИИ]</a:t>
                    </a:fld>
                    <a:r>
                      <a:rPr lang="ru-RU" baseline="0"/>
                      <a:t>
22%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5-6387-4497-A157-EEE2D1F0F261}"/>
                </c:ext>
              </c:extLst>
            </c:dLbl>
            <c:spPr>
              <a:noFill/>
              <a:ln>
                <a:noFill/>
              </a:ln>
              <a:effectLst/>
            </c:spPr>
            <c:dLblPos val="outEnd"/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Лист1!$A$74:$A$76</c:f>
              <c:strCache>
                <c:ptCount val="3"/>
                <c:pt idx="0">
                  <c:v>цена товара (услуги), неустойка и досудебные расходы</c:v>
                </c:pt>
                <c:pt idx="1">
                  <c:v>компенсация морального вреда</c:v>
                </c:pt>
                <c:pt idx="2">
                  <c:v>штрафы</c:v>
                </c:pt>
              </c:strCache>
            </c:strRef>
          </c:cat>
          <c:val>
            <c:numRef>
              <c:f>Лист1!$B$74:$B$76</c:f>
              <c:numCache>
                <c:formatCode>General</c:formatCode>
                <c:ptCount val="3"/>
                <c:pt idx="0">
                  <c:v>194</c:v>
                </c:pt>
                <c:pt idx="1">
                  <c:v>25</c:v>
                </c:pt>
                <c:pt idx="2">
                  <c:v>94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6387-4497-A157-EEE2D1F0F261}"/>
            </c:ext>
          </c:extLst>
        </c:ser>
        <c:dLbls>
          <c:dLblPos val="outEnd"/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2">
  <cs:axisTitle>
    <cs:lnRef idx="0"/>
    <cs:fillRef idx="0"/>
    <cs:effectRef idx="0"/>
    <cs:fontRef idx="minor">
      <a:schemeClr val="lt1">
        <a:lumMod val="85000"/>
      </a:schemeClr>
    </cs:fontRef>
    <cs:defRPr sz="900" b="1" kern="1200" cap="all"/>
  </cs:axisTitle>
  <cs:categoryAxis>
    <cs:lnRef idx="0"/>
    <cs:fillRef idx="0"/>
    <cs:effectRef idx="0"/>
    <cs:fontRef idx="minor">
      <a:schemeClr val="lt1">
        <a:lumMod val="85000"/>
      </a:schemeClr>
    </cs:fontRef>
    <cs:spPr>
      <a:ln w="12700" cap="flat" cmpd="sng" algn="ctr">
        <a:solidFill>
          <a:schemeClr val="lt1">
            <a:lumMod val="95000"/>
            <a:alpha val="54000"/>
          </a:schemeClr>
        </a:solidFill>
        <a:round/>
      </a:ln>
    </cs:spPr>
    <cs:defRPr sz="900" kern="120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dk1">
              <a:lumMod val="65000"/>
              <a:lumOff val="35000"/>
            </a:schemeClr>
          </a:gs>
          <a:gs pos="100000">
            <a:schemeClr val="dk1">
              <a:lumMod val="85000"/>
              <a:lumOff val="15000"/>
            </a:schemeClr>
          </a:gs>
        </a:gsLst>
        <a:path path="circle">
          <a:fillToRect l="50000" t="50000" r="50000" b="50000"/>
        </a:path>
        <a:tileRect/>
      </a:gradFill>
    </cs:spPr>
    <cs:defRPr sz="1000" kern="1200"/>
  </cs:chartArea>
  <cs:dataLabel>
    <cs:lnRef idx="0"/>
    <cs:fillRef idx="0"/>
    <cs:effectRef idx="0"/>
    <cs:fontRef idx="minor">
      <a:schemeClr val="lt1">
        <a:lumMod val="8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ize="5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lt1">
        <a:lumMod val="85000"/>
      </a:schemeClr>
    </cs:fontRef>
    <cs:spPr>
      <a:ln w="9525">
        <a:solidFill>
          <a:schemeClr val="lt1">
            <a:lumMod val="95000"/>
            <a:alpha val="54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>
        <a:solidFill>
          <a:schemeClr val="lt1">
            <a:lumMod val="95000"/>
            <a:alpha val="54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>
        <a:solidFill>
          <a:schemeClr val="lt1">
            <a:lumMod val="95000"/>
            <a:alpha val="54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lt1">
            <a:lumMod val="9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lt1">
            <a:lumMod val="95000"/>
            <a:alpha val="10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>
        <a:solidFill>
          <a:schemeClr val="lt1">
            <a:lumMod val="95000"/>
            <a:alpha val="5000"/>
          </a:schemeClr>
        </a:solidFill>
      </a:ln>
    </cs:spPr>
  </cs:gridlineMinor>
  <cs:hiLoLine>
    <cs:lnRef idx="0"/>
    <cs:fillRef idx="0"/>
    <cs:effectRef idx="0"/>
    <cs:fontRef idx="minor">
      <a:schemeClr val="tx1"/>
    </cs:fontRef>
    <cs:spPr>
      <a:ln w="9525">
        <a:solidFill>
          <a:schemeClr val="lt1">
            <a:lumMod val="95000"/>
            <a:alpha val="54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1"/>
    </cs:fontRef>
    <cs:spPr>
      <a:ln w="9525">
        <a:solidFill>
          <a:schemeClr val="lt1">
            <a:lumMod val="95000"/>
            <a:alpha val="54000"/>
          </a:schemeClr>
        </a:solidFill>
      </a:ln>
    </cs:spPr>
  </cs:leaderLine>
  <cs:legend>
    <cs:lnRef idx="0"/>
    <cs:fillRef idx="0"/>
    <cs:effectRef idx="0"/>
    <cs:fontRef idx="minor">
      <a:schemeClr val="lt1">
        <a:lumMod val="85000"/>
      </a:schemeClr>
    </cs:fontRef>
    <cs:defRPr sz="900" kern="1200"/>
  </cs:legend>
  <cs:plotArea>
    <cs:lnRef idx="0"/>
    <cs:fillRef idx="0"/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lt1">
        <a:lumMod val="85000"/>
      </a:schemeClr>
    </cs:fontRef>
    <cs:spPr>
      <a:ln w="12700" cap="flat" cmpd="sng" algn="ctr">
        <a:solidFill>
          <a:schemeClr val="lt1">
            <a:lumMod val="95000"/>
            <a:alpha val="54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lt1"/>
    </cs:fontRef>
    <cs:spPr>
      <a:ln w="9525" cap="flat" cmpd="sng" algn="ctr">
        <a:solidFill>
          <a:schemeClr val="lt1">
            <a:lumMod val="95000"/>
            <a:alpha val="54000"/>
          </a:schemeClr>
        </a:solidFill>
        <a:round/>
      </a:ln>
    </cs:spPr>
  </cs:seriesLine>
  <cs:title>
    <cs:lnRef idx="0"/>
    <cs:fillRef idx="0"/>
    <cs:effectRef idx="0"/>
    <cs:fontRef idx="minor">
      <a:schemeClr val="lt1">
        <a:lumMod val="95000"/>
      </a:schemeClr>
    </cs:fontRef>
    <cs:defRPr sz="1600" b="1" kern="1200" spc="100" baseline="0">
      <a:effectLst>
        <a:outerShdw blurRad="50800" dist="38100" dir="5400000" algn="t" rotWithShape="0">
          <a:prstClr val="black">
            <a:alpha val="40000"/>
          </a:prstClr>
        </a:outerShdw>
      </a:effectLst>
    </cs:defRPr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lt1">
        <a:lumMod val="8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>
        <a:solidFill>
          <a:schemeClr val="lt1">
            <a:lumMod val="95000"/>
            <a:alpha val="54000"/>
          </a:schemeClr>
        </a:solidFill>
      </a:ln>
    </cs:spPr>
  </cs:upBar>
  <cs:valueAxis>
    <cs:lnRef idx="0"/>
    <cs:fillRef idx="0"/>
    <cs:effectRef idx="0"/>
    <cs:fontRef idx="minor">
      <a:schemeClr val="lt1">
        <a:lumMod val="85000"/>
      </a:schemeClr>
    </cs:fontRef>
    <cs:defRPr sz="900" kern="1200"/>
  </cs:valueAxis>
  <cs:wall>
    <cs:lnRef idx="0"/>
    <cs:fillRef idx="0"/>
    <cs:effectRef idx="0"/>
    <cs:fontRef idx="minor">
      <a:schemeClr val="tx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59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cs:styleClr val="auto"/>
    </cs:fontRef>
    <cs:defRPr sz="1000" b="1" i="0" u="none" strike="noStrike" kern="1200" spc="0" baseline="0"/>
  </cs:dataLabel>
  <cs:dataLabelCallout>
    <cs:lnRef idx="0">
      <cs:styleClr val="auto"/>
    </cs:lnRef>
    <cs:fillRef idx="0"/>
    <cs:effectRef idx="0"/>
    <cs:fontRef idx="minor">
      <cs:styleClr val="auto"/>
    </cs:fontRef>
    <cs:spPr>
      <a:solidFill>
        <a:schemeClr val="lt1"/>
      </a:solidFill>
      <a:ln>
        <a:solidFill>
          <a:schemeClr val="phClr"/>
        </a:solidFill>
      </a:ln>
    </cs:spPr>
    <cs:defRPr sz="10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635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88900" sx="102000" sy="102000" algn="ctr" rotWithShape="0">
          <a:prstClr val="black">
            <a:alpha val="10000"/>
          </a:prstClr>
        </a:outerShdw>
      </a:effectLst>
      <a:scene3d>
        <a:camera prst="orthographicFront"/>
        <a:lightRig rig="threePt" dir="t"/>
      </a:scene3d>
      <a:sp3d>
        <a:bevelT w="127000" h="127000"/>
        <a:bevelB w="127000" h="127000"/>
      </a:sp3d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cap="all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253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cp:lastPrinted>2018-08-03T08:04:00Z</cp:lastPrinted>
  <dcterms:created xsi:type="dcterms:W3CDTF">2018-08-03T08:05:00Z</dcterms:created>
  <dcterms:modified xsi:type="dcterms:W3CDTF">2018-08-08T09:39:00Z</dcterms:modified>
</cp:coreProperties>
</file>