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D3F" w:rsidRPr="00C2769E" w:rsidRDefault="00233D3F" w:rsidP="00233D3F">
      <w:pPr>
        <w:spacing w:after="200" w:line="276" w:lineRule="auto"/>
        <w:jc w:val="center"/>
        <w:rPr>
          <w:rFonts w:ascii="Times New Roman" w:eastAsia="Calibri" w:hAnsi="Times New Roman"/>
          <w:b/>
          <w:i/>
          <w:sz w:val="32"/>
          <w:szCs w:val="32"/>
        </w:rPr>
      </w:pPr>
      <w:r w:rsidRPr="00C2769E">
        <w:rPr>
          <w:rFonts w:ascii="Times New Roman" w:eastAsia="Calibri" w:hAnsi="Times New Roman"/>
          <w:b/>
          <w:i/>
          <w:sz w:val="32"/>
          <w:szCs w:val="32"/>
        </w:rPr>
        <w:t>Результаты  федерального   государственного  надзора  в  сфере  защиты  прав  потребителей  в  2017году.</w:t>
      </w:r>
    </w:p>
    <w:p w:rsidR="00D04344" w:rsidRDefault="00D04344" w:rsidP="007A1EA2">
      <w:pPr>
        <w:spacing w:after="200" w:line="276" w:lineRule="auto"/>
        <w:ind w:left="360"/>
        <w:jc w:val="both"/>
        <w:rPr>
          <w:rFonts w:eastAsia="Calibri" w:cs="Calibri"/>
          <w:b/>
          <w:i/>
          <w:sz w:val="28"/>
        </w:rPr>
      </w:pPr>
    </w:p>
    <w:p w:rsidR="00D04344" w:rsidRDefault="00D04344" w:rsidP="007A1EA2">
      <w:pPr>
        <w:spacing w:after="200" w:line="276" w:lineRule="auto"/>
        <w:ind w:left="360"/>
        <w:jc w:val="both"/>
        <w:rPr>
          <w:rFonts w:eastAsia="Calibri" w:cs="Calibri"/>
          <w:b/>
          <w:i/>
          <w:sz w:val="28"/>
        </w:rPr>
      </w:pPr>
    </w:p>
    <w:p w:rsidR="00233D3F" w:rsidRDefault="007A1EA2" w:rsidP="007A1EA2">
      <w:pPr>
        <w:spacing w:after="200" w:line="276" w:lineRule="auto"/>
        <w:ind w:left="360"/>
        <w:jc w:val="both"/>
        <w:rPr>
          <w:rFonts w:eastAsia="Calibri" w:cs="Calibri"/>
          <w:b/>
          <w:i/>
          <w:sz w:val="28"/>
        </w:rPr>
      </w:pPr>
      <w:r>
        <w:rPr>
          <w:rFonts w:eastAsia="Calibri" w:cs="Calibri"/>
          <w:b/>
          <w:i/>
          <w:sz w:val="28"/>
        </w:rPr>
        <w:t>1.</w:t>
      </w:r>
      <w:r w:rsidR="00233D3F">
        <w:rPr>
          <w:rFonts w:eastAsia="Calibri" w:cs="Calibri"/>
          <w:b/>
          <w:i/>
          <w:sz w:val="28"/>
        </w:rPr>
        <w:t>Контрольно-надзорные  мероприятия.</w:t>
      </w:r>
    </w:p>
    <w:p w:rsidR="00233D3F" w:rsidRDefault="00233D3F" w:rsidP="00233D3F">
      <w:pPr>
        <w:spacing w:after="200" w:line="276" w:lineRule="auto"/>
        <w:jc w:val="both"/>
        <w:rPr>
          <w:rFonts w:eastAsia="Calibri" w:cs="Calibri"/>
          <w:b/>
          <w:i/>
          <w:sz w:val="28"/>
        </w:rPr>
      </w:pPr>
    </w:p>
    <w:p w:rsidR="00233D3F" w:rsidRDefault="00233D3F" w:rsidP="00233D3F">
      <w:pPr>
        <w:spacing w:after="200" w:line="276" w:lineRule="auto"/>
        <w:jc w:val="center"/>
        <w:rPr>
          <w:rFonts w:eastAsia="Calibri" w:cs="Calibri"/>
          <w:b/>
          <w:i/>
          <w:sz w:val="28"/>
        </w:rPr>
      </w:pPr>
      <w:r>
        <w:rPr>
          <w:rFonts w:eastAsia="Calibri" w:cs="Calibri"/>
          <w:b/>
          <w:i/>
          <w:sz w:val="28"/>
        </w:rPr>
        <w:t>Количество проверок (ед.)</w:t>
      </w:r>
    </w:p>
    <w:p w:rsidR="00233D3F" w:rsidRDefault="00233D3F" w:rsidP="00233D3F">
      <w:pPr>
        <w:spacing w:after="200" w:line="276" w:lineRule="auto"/>
        <w:jc w:val="both"/>
        <w:rPr>
          <w:rFonts w:eastAsia="Calibri" w:cs="Calibri"/>
          <w:b/>
          <w:i/>
          <w:sz w:val="28"/>
        </w:rPr>
      </w:pPr>
      <w:r>
        <w:rPr>
          <w:b/>
          <w:i/>
          <w:noProof/>
          <w:sz w:val="28"/>
          <w:szCs w:val="28"/>
          <w:lang w:eastAsia="ru-RU"/>
        </w:rPr>
        <w:drawing>
          <wp:inline distT="0" distB="0" distL="0" distR="0">
            <wp:extent cx="5943600" cy="3600450"/>
            <wp:effectExtent l="1905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D04344" w:rsidRDefault="00D04344" w:rsidP="00233D3F">
      <w:pPr>
        <w:spacing w:after="0" w:line="240" w:lineRule="auto"/>
        <w:ind w:firstLine="993"/>
        <w:jc w:val="both"/>
        <w:rPr>
          <w:rFonts w:ascii="Times New Roman" w:eastAsia="Times New Roman" w:hAnsi="Times New Roman"/>
          <w:sz w:val="28"/>
        </w:rPr>
      </w:pPr>
    </w:p>
    <w:p w:rsidR="008B604A" w:rsidRDefault="008B604A" w:rsidP="008B604A">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xml:space="preserve">В  2017  году,  как  и  в  целом  по  России,   продолжилось  снижение  общего  количества  проверок  по  соблюдению  законодательства  в  сфере защиты  прав  потребителей,  проведенных  в  соответствии  с  Федеральным  законом  от 26.12.2008г. № 294 «О защите прав юридических лиц и индивидуальных предпринимателей при осуществлении государственного контроля (надзора) и муниципального контроля».  Всего  в  отчетном  периоде  было  проведено 397  проверок (в 2016г. – 419),  это  ниже  уровня  2016 года  на 5% . </w:t>
      </w:r>
    </w:p>
    <w:p w:rsidR="00D04344" w:rsidRDefault="00D04344" w:rsidP="00233D3F">
      <w:pPr>
        <w:spacing w:after="0" w:line="240" w:lineRule="auto"/>
        <w:jc w:val="center"/>
        <w:rPr>
          <w:rFonts w:ascii="Times New Roman" w:eastAsia="Times New Roman" w:hAnsi="Times New Roman"/>
          <w:b/>
          <w:sz w:val="28"/>
        </w:rPr>
      </w:pPr>
    </w:p>
    <w:p w:rsidR="00D04344" w:rsidRDefault="00D04344" w:rsidP="00233D3F">
      <w:pPr>
        <w:spacing w:after="0" w:line="240" w:lineRule="auto"/>
        <w:jc w:val="center"/>
        <w:rPr>
          <w:rFonts w:ascii="Times New Roman" w:eastAsia="Times New Roman" w:hAnsi="Times New Roman"/>
          <w:b/>
          <w:sz w:val="28"/>
        </w:rPr>
      </w:pPr>
    </w:p>
    <w:p w:rsidR="00D04344" w:rsidRDefault="00D04344" w:rsidP="00233D3F">
      <w:pPr>
        <w:spacing w:after="0" w:line="240" w:lineRule="auto"/>
        <w:jc w:val="center"/>
        <w:rPr>
          <w:rFonts w:ascii="Times New Roman" w:eastAsia="Times New Roman" w:hAnsi="Times New Roman"/>
          <w:b/>
          <w:sz w:val="28"/>
        </w:rPr>
      </w:pPr>
    </w:p>
    <w:p w:rsidR="00233D3F" w:rsidRDefault="00233D3F" w:rsidP="00233D3F">
      <w:pPr>
        <w:spacing w:after="0" w:line="240" w:lineRule="auto"/>
        <w:jc w:val="center"/>
        <w:rPr>
          <w:rFonts w:ascii="Times New Roman" w:eastAsia="Times New Roman" w:hAnsi="Times New Roman"/>
          <w:b/>
          <w:sz w:val="28"/>
        </w:rPr>
      </w:pPr>
      <w:r>
        <w:rPr>
          <w:rFonts w:ascii="Times New Roman" w:eastAsia="Times New Roman" w:hAnsi="Times New Roman"/>
          <w:b/>
          <w:sz w:val="28"/>
        </w:rPr>
        <w:t>Удельны</w:t>
      </w:r>
      <w:r w:rsidR="00F24511">
        <w:rPr>
          <w:rFonts w:ascii="Times New Roman" w:eastAsia="Times New Roman" w:hAnsi="Times New Roman"/>
          <w:b/>
          <w:sz w:val="28"/>
        </w:rPr>
        <w:t>й</w:t>
      </w:r>
      <w:r>
        <w:rPr>
          <w:rFonts w:ascii="Times New Roman" w:eastAsia="Times New Roman" w:hAnsi="Times New Roman"/>
          <w:b/>
          <w:sz w:val="28"/>
        </w:rPr>
        <w:t xml:space="preserve"> вес проверок</w:t>
      </w:r>
      <w:proofErr w:type="gramStart"/>
      <w:r>
        <w:rPr>
          <w:rFonts w:ascii="Times New Roman" w:eastAsia="Times New Roman" w:hAnsi="Times New Roman"/>
          <w:b/>
          <w:sz w:val="28"/>
        </w:rPr>
        <w:t xml:space="preserve"> (%)</w:t>
      </w:r>
      <w:proofErr w:type="gramEnd"/>
    </w:p>
    <w:p w:rsidR="00233D3F" w:rsidRDefault="00233D3F" w:rsidP="00233D3F">
      <w:pPr>
        <w:spacing w:after="0" w:line="240" w:lineRule="auto"/>
        <w:jc w:val="both"/>
        <w:rPr>
          <w:rFonts w:ascii="Times New Roman" w:eastAsia="Times New Roman" w:hAnsi="Times New Roman"/>
          <w:sz w:val="28"/>
        </w:rPr>
      </w:pPr>
    </w:p>
    <w:p w:rsidR="00233D3F" w:rsidRDefault="00233D3F" w:rsidP="006240B6">
      <w:pPr>
        <w:spacing w:after="0" w:line="240" w:lineRule="auto"/>
        <w:jc w:val="both"/>
        <w:rPr>
          <w:rFonts w:ascii="Times New Roman" w:eastAsia="Times New Roman" w:hAnsi="Times New Roman"/>
          <w:sz w:val="28"/>
        </w:rPr>
      </w:pPr>
      <w:r>
        <w:rPr>
          <w:rFonts w:ascii="Times New Roman" w:hAnsi="Times New Roman"/>
          <w:noProof/>
          <w:sz w:val="28"/>
          <w:szCs w:val="28"/>
          <w:lang w:eastAsia="ru-RU"/>
        </w:rPr>
        <w:lastRenderedPageBreak/>
        <w:drawing>
          <wp:inline distT="0" distB="0" distL="0" distR="0">
            <wp:extent cx="5943600" cy="3619500"/>
            <wp:effectExtent l="19050" t="0" r="0" b="0"/>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В связи с политикой  Правительства РФ, направленной  на  снижение  административной  нагрузки  на  бизнес, доля  плановых  проверок   с 49% в 2013году уменьшилась  до 18%  в  2017году. На  2018год принято решение не планировать проверки  по соблюдению хозяйствующими субъектами требований Закона Российской Федерации "О защите прав потребителей".</w:t>
      </w:r>
    </w:p>
    <w:p w:rsidR="00233D3F" w:rsidRDefault="00233D3F" w:rsidP="00233D3F">
      <w:pPr>
        <w:spacing w:after="0" w:line="240" w:lineRule="auto"/>
        <w:ind w:firstLine="993"/>
        <w:jc w:val="both"/>
        <w:rPr>
          <w:rFonts w:ascii="Times New Roman" w:eastAsia="Times New Roman" w:hAnsi="Times New Roman"/>
          <w:sz w:val="28"/>
        </w:rPr>
      </w:pPr>
    </w:p>
    <w:p w:rsidR="00233D3F" w:rsidRPr="00F9728F" w:rsidRDefault="00233D3F" w:rsidP="00233D3F">
      <w:pPr>
        <w:spacing w:after="200" w:line="276" w:lineRule="auto"/>
        <w:jc w:val="center"/>
        <w:rPr>
          <w:rFonts w:ascii="Times New Roman" w:eastAsia="Times New Roman" w:hAnsi="Times New Roman"/>
          <w:b/>
          <w:sz w:val="28"/>
        </w:rPr>
      </w:pPr>
      <w:r w:rsidRPr="00F9728F">
        <w:rPr>
          <w:rFonts w:ascii="Times New Roman" w:eastAsia="Times New Roman" w:hAnsi="Times New Roman"/>
          <w:b/>
          <w:sz w:val="28"/>
        </w:rPr>
        <w:t>Структура внеплановых проверок</w:t>
      </w:r>
      <w:proofErr w:type="gramStart"/>
      <w:r w:rsidRPr="00F9728F">
        <w:rPr>
          <w:rFonts w:ascii="Times New Roman" w:eastAsia="Times New Roman" w:hAnsi="Times New Roman"/>
          <w:b/>
          <w:sz w:val="28"/>
        </w:rPr>
        <w:t xml:space="preserve"> (%).</w:t>
      </w:r>
      <w:proofErr w:type="gramEnd"/>
    </w:p>
    <w:p w:rsidR="00233D3F" w:rsidRDefault="00233D3F" w:rsidP="00233D3F">
      <w:pPr>
        <w:spacing w:after="0" w:line="240" w:lineRule="auto"/>
        <w:jc w:val="center"/>
        <w:rPr>
          <w:rFonts w:ascii="Times New Roman" w:eastAsia="Times New Roman" w:hAnsi="Times New Roman"/>
          <w:sz w:val="28"/>
        </w:rPr>
      </w:pPr>
      <w:r>
        <w:rPr>
          <w:noProof/>
          <w:lang w:eastAsia="ru-RU"/>
        </w:rPr>
        <w:drawing>
          <wp:inline distT="0" distB="0" distL="0" distR="0">
            <wp:extent cx="5495925" cy="3067050"/>
            <wp:effectExtent l="19050" t="0" r="9525"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33D3F" w:rsidRDefault="00233D3F" w:rsidP="00233D3F">
      <w:pPr>
        <w:spacing w:after="0" w:line="240" w:lineRule="auto"/>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hAnsi="Times New Roman"/>
          <w:sz w:val="28"/>
          <w:szCs w:val="28"/>
        </w:rPr>
      </w:pPr>
      <w:r>
        <w:rPr>
          <w:rFonts w:ascii="Times New Roman" w:eastAsia="Times New Roman" w:hAnsi="Times New Roman"/>
          <w:sz w:val="28"/>
        </w:rPr>
        <w:t xml:space="preserve">Несмотря  на  стабильно  высокий  показатель  удельного  веса  внеплановых  проверок, их  структура  изменилась. </w:t>
      </w:r>
      <w:proofErr w:type="gramStart"/>
      <w:r>
        <w:rPr>
          <w:rFonts w:ascii="Times New Roman" w:eastAsia="Times New Roman" w:hAnsi="Times New Roman"/>
          <w:sz w:val="28"/>
        </w:rPr>
        <w:t xml:space="preserve">Если  в предыдущие годы  основную  долю  внеплановых  проверок  составляли  проверки по исполнению  </w:t>
      </w:r>
      <w:r>
        <w:rPr>
          <w:rFonts w:ascii="Times New Roman" w:eastAsia="Times New Roman" w:hAnsi="Times New Roman"/>
          <w:sz w:val="28"/>
        </w:rPr>
        <w:lastRenderedPageBreak/>
        <w:t xml:space="preserve">хозяйствующими  субъектами  предписаний  об  устранении  выявленных  в  ходе  проверок  нарушений и  проверки  по  обращениям,  то в 2017 году  лишь 7%  - это проверки, основанием для организации  которых были обращения, 9%  проверки по исполнению, выданных ранее  предписаний  и 84%  составили  проверки, проводимые  </w:t>
      </w:r>
      <w:r>
        <w:rPr>
          <w:rFonts w:ascii="Times New Roman" w:hAnsi="Times New Roman"/>
          <w:sz w:val="28"/>
          <w:szCs w:val="28"/>
        </w:rPr>
        <w:t>на основании распоряжения, изданного в соответствии с поручениями</w:t>
      </w:r>
      <w:proofErr w:type="gramEnd"/>
      <w:r>
        <w:rPr>
          <w:rFonts w:ascii="Times New Roman" w:hAnsi="Times New Roman"/>
          <w:sz w:val="28"/>
          <w:szCs w:val="28"/>
        </w:rPr>
        <w:t xml:space="preserve"> Президента Российской Федерации и Правительства Российской Федерации.</w:t>
      </w:r>
    </w:p>
    <w:p w:rsidR="00233D3F" w:rsidRDefault="00233D3F" w:rsidP="00233D3F">
      <w:pPr>
        <w:spacing w:after="0" w:line="240" w:lineRule="auto"/>
        <w:ind w:firstLine="993"/>
        <w:jc w:val="both"/>
        <w:rPr>
          <w:rFonts w:ascii="Times New Roman" w:hAnsi="Times New Roman"/>
          <w:sz w:val="28"/>
          <w:szCs w:val="28"/>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7"/>
        <w:gridCol w:w="2327"/>
        <w:gridCol w:w="2120"/>
        <w:gridCol w:w="2327"/>
      </w:tblGrid>
      <w:tr w:rsidR="00233D3F" w:rsidTr="00233D3F">
        <w:tc>
          <w:tcPr>
            <w:tcW w:w="4503"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Наименование  показателей</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Количество обследованных партий продукции  легкой  промышленности</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Из  них, количество партий с  нарушениями</w:t>
            </w:r>
          </w:p>
        </w:tc>
        <w:tc>
          <w:tcPr>
            <w:tcW w:w="114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Количество партий товаров  легкой  промышленности с  нарушениями от количества  осмотренных  партий данной  продукции</w:t>
            </w:r>
            <w:proofErr w:type="gramStart"/>
            <w:r>
              <w:rPr>
                <w:rFonts w:ascii="Times New Roman" w:hAnsi="Times New Roman"/>
                <w:sz w:val="28"/>
                <w:szCs w:val="28"/>
              </w:rPr>
              <w:t xml:space="preserve"> (%).</w:t>
            </w:r>
            <w:proofErr w:type="gramEnd"/>
          </w:p>
        </w:tc>
      </w:tr>
      <w:tr w:rsidR="00233D3F" w:rsidTr="00233D3F">
        <w:tc>
          <w:tcPr>
            <w:tcW w:w="4503"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Меховая  продукция</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203</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154</w:t>
            </w:r>
          </w:p>
        </w:tc>
        <w:tc>
          <w:tcPr>
            <w:tcW w:w="114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76</w:t>
            </w:r>
          </w:p>
        </w:tc>
      </w:tr>
      <w:tr w:rsidR="00233D3F" w:rsidTr="00233D3F">
        <w:tc>
          <w:tcPr>
            <w:tcW w:w="4503"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Обувь для детей до 3-х лет</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119</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72</w:t>
            </w:r>
          </w:p>
        </w:tc>
        <w:tc>
          <w:tcPr>
            <w:tcW w:w="114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61</w:t>
            </w:r>
          </w:p>
        </w:tc>
      </w:tr>
      <w:tr w:rsidR="00233D3F" w:rsidTr="00233D3F">
        <w:tc>
          <w:tcPr>
            <w:tcW w:w="4503"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Другая продукция легкой промышленности</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1010</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538</w:t>
            </w:r>
          </w:p>
        </w:tc>
        <w:tc>
          <w:tcPr>
            <w:tcW w:w="114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53</w:t>
            </w:r>
          </w:p>
        </w:tc>
      </w:tr>
      <w:tr w:rsidR="00233D3F" w:rsidTr="00233D3F">
        <w:tc>
          <w:tcPr>
            <w:tcW w:w="4503"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ИТОГО</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1332</w:t>
            </w:r>
          </w:p>
        </w:tc>
        <w:tc>
          <w:tcPr>
            <w:tcW w:w="232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764</w:t>
            </w:r>
          </w:p>
        </w:tc>
        <w:tc>
          <w:tcPr>
            <w:tcW w:w="114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57</w:t>
            </w:r>
          </w:p>
        </w:tc>
      </w:tr>
    </w:tbl>
    <w:p w:rsidR="00233D3F" w:rsidRDefault="00233D3F" w:rsidP="00233D3F">
      <w:pPr>
        <w:spacing w:after="0" w:line="240" w:lineRule="auto"/>
        <w:ind w:firstLine="993"/>
        <w:jc w:val="both"/>
        <w:rPr>
          <w:rFonts w:ascii="Times New Roman" w:hAnsi="Times New Roman"/>
          <w:sz w:val="28"/>
          <w:szCs w:val="28"/>
        </w:rPr>
      </w:pP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xml:space="preserve">На  основании  поручения  Президента Российской  Федерации  от 24 августа 2017года № Пр-1776  </w:t>
      </w:r>
      <w:proofErr w:type="spellStart"/>
      <w:r>
        <w:rPr>
          <w:rFonts w:ascii="Times New Roman" w:eastAsia="Times New Roman" w:hAnsi="Times New Roman"/>
          <w:sz w:val="28"/>
        </w:rPr>
        <w:t>Роспотребнадзору</w:t>
      </w:r>
      <w:proofErr w:type="spellEnd"/>
      <w:r>
        <w:rPr>
          <w:rFonts w:ascii="Times New Roman" w:eastAsia="Times New Roman" w:hAnsi="Times New Roman"/>
          <w:sz w:val="28"/>
        </w:rPr>
        <w:t xml:space="preserve">  поручено  принять дополнительные  меры по выявлению и пресечению незаконного  ввоза,  производства и  оборота на территории  Российской  Федерации  продукции  легкой  промышленности.  В рамках исполнения  данного  поручения  Управлением Роспотребнадзора  по  Псковской  области  в 2017 году  проверено  89  хозяйствующих  субъектов,  осуществляющих  продажу  продукции  легкой  промышленности  в 122объектах. В  ходе  проверок  обследовано 1332 партии  продукции  легкой  промышленности. Из  них, меховой  продукции 203 партии, обуви  для  детей  до  3-х лет – 119  партий, другой продукции легкой промышленности – 1010 партий.  В  99 объектах, в которых  реализовывалась  продукция  легкой промышленности,  выявлены  нарушения  у 764 партий товаров легкой  промышленности,  что  составляет 57% от  всех  осмотренных  партий продукции легкой промышленности. </w:t>
      </w: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jc w:val="both"/>
        <w:rPr>
          <w:rFonts w:ascii="Times New Roman" w:eastAsia="Times New Roman" w:hAnsi="Times New Roman"/>
          <w:sz w:val="28"/>
        </w:rPr>
      </w:pPr>
      <w:r>
        <w:rPr>
          <w:rFonts w:ascii="Times New Roman" w:eastAsia="Times New Roman" w:hAnsi="Times New Roman"/>
          <w:noProof/>
          <w:sz w:val="28"/>
          <w:lang w:eastAsia="ru-RU"/>
        </w:rPr>
        <w:lastRenderedPageBreak/>
        <w:drawing>
          <wp:inline distT="0" distB="0" distL="0" distR="0">
            <wp:extent cx="5334000" cy="3419475"/>
            <wp:effectExtent l="1905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 cstate="print"/>
                    <a:srcRect/>
                    <a:stretch>
                      <a:fillRect/>
                    </a:stretch>
                  </pic:blipFill>
                  <pic:spPr bwMode="auto">
                    <a:xfrm>
                      <a:off x="0" y="0"/>
                      <a:ext cx="5334000" cy="3419475"/>
                    </a:xfrm>
                    <a:prstGeom prst="rect">
                      <a:avLst/>
                    </a:prstGeom>
                    <a:noFill/>
                    <a:ln w="9525">
                      <a:noFill/>
                      <a:miter lim="800000"/>
                      <a:headEnd/>
                      <a:tailEnd/>
                    </a:ln>
                  </pic:spPr>
                </pic:pic>
              </a:graphicData>
            </a:graphic>
          </wp:inline>
        </w:drawing>
      </w: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Основными  выявленными  нарушениями являются:</w:t>
      </w: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отсутствие маркировки: выявлено у 516 партий продукции, что составляет 68% от  общего  количества  партий  с выявленными  нарушениями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w:t>
      </w: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несоответствие  маркировки: выявлено у 157 партий продукции, что составляет 21% от  общего  количества  партий  с выявленными  нарушениями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w:t>
      </w: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нарушение нанесения знака обращения на  рынке: выявлено у 74 партий продукции, что составляет 10% от  общего  количества  партий  с выявленными  нарушениями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w:t>
      </w: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 нарушение требований к сопроводительным документам: выявлено у 17 партий продукции, что составляет 2% от  общего  количества  партий  с выявленными  нарушениями.</w:t>
      </w:r>
    </w:p>
    <w:p w:rsidR="00233D3F" w:rsidRDefault="00233D3F" w:rsidP="00233D3F">
      <w:pPr>
        <w:spacing w:after="0" w:line="240" w:lineRule="auto"/>
        <w:ind w:firstLine="993"/>
        <w:jc w:val="both"/>
        <w:rPr>
          <w:rFonts w:ascii="Times New Roman" w:eastAsia="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842"/>
        <w:gridCol w:w="1985"/>
      </w:tblGrid>
      <w:tr w:rsidR="00233D3F" w:rsidTr="00233D3F">
        <w:tc>
          <w:tcPr>
            <w:tcW w:w="620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Наименование продукции  легкой промышленности</w:t>
            </w:r>
          </w:p>
        </w:tc>
        <w:tc>
          <w:tcPr>
            <w:tcW w:w="184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Снято  с  реализации</w:t>
            </w:r>
          </w:p>
        </w:tc>
        <w:tc>
          <w:tcPr>
            <w:tcW w:w="198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Арестовано</w:t>
            </w:r>
          </w:p>
        </w:tc>
      </w:tr>
      <w:tr w:rsidR="00233D3F" w:rsidTr="00233D3F">
        <w:tc>
          <w:tcPr>
            <w:tcW w:w="620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hAnsi="Times New Roman"/>
                <w:sz w:val="28"/>
                <w:szCs w:val="28"/>
              </w:rPr>
              <w:t>Меховая  продукция</w:t>
            </w:r>
          </w:p>
        </w:tc>
        <w:tc>
          <w:tcPr>
            <w:tcW w:w="184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8</w:t>
            </w:r>
          </w:p>
        </w:tc>
        <w:tc>
          <w:tcPr>
            <w:tcW w:w="198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43</w:t>
            </w:r>
          </w:p>
        </w:tc>
      </w:tr>
      <w:tr w:rsidR="00233D3F" w:rsidTr="00233D3F">
        <w:tc>
          <w:tcPr>
            <w:tcW w:w="620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Обувь для детей до 3-х лет</w:t>
            </w:r>
          </w:p>
        </w:tc>
        <w:tc>
          <w:tcPr>
            <w:tcW w:w="184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70</w:t>
            </w:r>
          </w:p>
        </w:tc>
        <w:tc>
          <w:tcPr>
            <w:tcW w:w="198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0</w:t>
            </w:r>
          </w:p>
        </w:tc>
      </w:tr>
      <w:tr w:rsidR="00233D3F" w:rsidTr="00233D3F">
        <w:tc>
          <w:tcPr>
            <w:tcW w:w="620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Другая продукция легкой промышленности</w:t>
            </w:r>
          </w:p>
        </w:tc>
        <w:tc>
          <w:tcPr>
            <w:tcW w:w="184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463</w:t>
            </w:r>
          </w:p>
        </w:tc>
        <w:tc>
          <w:tcPr>
            <w:tcW w:w="198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0</w:t>
            </w:r>
          </w:p>
        </w:tc>
      </w:tr>
      <w:tr w:rsidR="00233D3F" w:rsidTr="00233D3F">
        <w:tc>
          <w:tcPr>
            <w:tcW w:w="620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ИТОГО</w:t>
            </w:r>
          </w:p>
        </w:tc>
        <w:tc>
          <w:tcPr>
            <w:tcW w:w="184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541</w:t>
            </w:r>
          </w:p>
        </w:tc>
        <w:tc>
          <w:tcPr>
            <w:tcW w:w="198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r>
              <w:rPr>
                <w:rFonts w:ascii="Times New Roman" w:eastAsia="Times New Roman" w:hAnsi="Times New Roman"/>
                <w:sz w:val="28"/>
              </w:rPr>
              <w:t>143</w:t>
            </w:r>
          </w:p>
        </w:tc>
      </w:tr>
    </w:tbl>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r>
        <w:rPr>
          <w:rFonts w:ascii="Times New Roman" w:eastAsia="Times New Roman" w:hAnsi="Times New Roman"/>
          <w:sz w:val="28"/>
        </w:rPr>
        <w:t>В  результате  снято  с  реализации  541  партия  продукции  легкой  промышленности. Арестовано  143  партии  меховой  продукции.  На  должностных  лиц  наложено  23  административных  штрафа  на  общую  сумму 124,9 тыс. рублей, вынесено  58 предупреждений. В  суд  передано 5 дел. На  отчетную  дату,  по 4 из  них  судом  вынесены  предупреждения.</w:t>
      </w: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ind w:firstLine="993"/>
        <w:jc w:val="both"/>
        <w:rPr>
          <w:rFonts w:ascii="Times New Roman" w:eastAsia="Times New Roman" w:hAnsi="Times New Roman"/>
          <w:sz w:val="28"/>
        </w:rPr>
      </w:pPr>
    </w:p>
    <w:p w:rsidR="00233D3F" w:rsidRDefault="00233D3F" w:rsidP="00233D3F">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3"/>
        <w:gridCol w:w="1999"/>
        <w:gridCol w:w="1966"/>
        <w:gridCol w:w="1919"/>
        <w:gridCol w:w="1974"/>
        <w:gridCol w:w="7"/>
      </w:tblGrid>
      <w:tr w:rsidR="00233D3F" w:rsidTr="00233D3F">
        <w:trPr>
          <w:trHeight w:val="1098"/>
        </w:trPr>
        <w:tc>
          <w:tcPr>
            <w:tcW w:w="2286"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hAnsi="Times New Roman"/>
                <w:sz w:val="28"/>
                <w:szCs w:val="28"/>
              </w:rPr>
            </w:pPr>
          </w:p>
        </w:tc>
        <w:tc>
          <w:tcPr>
            <w:tcW w:w="3998" w:type="dxa"/>
            <w:gridSpan w:val="2"/>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center"/>
              <w:rPr>
                <w:rFonts w:ascii="Times New Roman" w:hAnsi="Times New Roman"/>
                <w:sz w:val="28"/>
                <w:szCs w:val="28"/>
              </w:rPr>
            </w:pPr>
            <w:r>
              <w:rPr>
                <w:rFonts w:ascii="Times New Roman" w:hAnsi="Times New Roman"/>
                <w:sz w:val="28"/>
                <w:szCs w:val="28"/>
              </w:rPr>
              <w:t>Непищевая спиртосодержащая продукция</w:t>
            </w:r>
          </w:p>
        </w:tc>
        <w:tc>
          <w:tcPr>
            <w:tcW w:w="3930" w:type="dxa"/>
            <w:gridSpan w:val="3"/>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center"/>
              <w:rPr>
                <w:rFonts w:ascii="Times New Roman" w:hAnsi="Times New Roman"/>
                <w:sz w:val="28"/>
                <w:szCs w:val="28"/>
              </w:rPr>
            </w:pPr>
            <w:r>
              <w:rPr>
                <w:rFonts w:ascii="Times New Roman" w:hAnsi="Times New Roman"/>
                <w:sz w:val="28"/>
                <w:szCs w:val="28"/>
              </w:rPr>
              <w:t>Пищевая спиртосодержащая продукция</w:t>
            </w:r>
          </w:p>
        </w:tc>
      </w:tr>
      <w:tr w:rsidR="00233D3F" w:rsidTr="00233D3F">
        <w:trPr>
          <w:gridAfter w:val="1"/>
          <w:wAfter w:w="7" w:type="dxa"/>
          <w:trHeight w:val="602"/>
        </w:trPr>
        <w:tc>
          <w:tcPr>
            <w:tcW w:w="2286" w:type="dxa"/>
            <w:vMerge w:val="restart"/>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Количество проверенных объектов</w:t>
            </w:r>
          </w:p>
        </w:tc>
        <w:tc>
          <w:tcPr>
            <w:tcW w:w="2029"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Всего</w:t>
            </w:r>
          </w:p>
        </w:tc>
        <w:tc>
          <w:tcPr>
            <w:tcW w:w="1968"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Из них с нарушениями</w:t>
            </w:r>
          </w:p>
        </w:tc>
        <w:tc>
          <w:tcPr>
            <w:tcW w:w="194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Всего</w:t>
            </w:r>
          </w:p>
        </w:tc>
        <w:tc>
          <w:tcPr>
            <w:tcW w:w="197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hAnsi="Times New Roman"/>
                <w:sz w:val="28"/>
                <w:szCs w:val="28"/>
              </w:rPr>
            </w:pPr>
            <w:r>
              <w:rPr>
                <w:rFonts w:ascii="Times New Roman" w:hAnsi="Times New Roman"/>
                <w:sz w:val="28"/>
                <w:szCs w:val="28"/>
              </w:rPr>
              <w:t>Из них с нарушениями</w:t>
            </w:r>
          </w:p>
        </w:tc>
      </w:tr>
      <w:tr w:rsidR="00233D3F" w:rsidTr="00233D3F">
        <w:trPr>
          <w:gridAfter w:val="1"/>
          <w:wAfter w:w="7" w:type="dxa"/>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D3F" w:rsidRDefault="00233D3F">
            <w:pPr>
              <w:spacing w:after="0" w:line="240" w:lineRule="auto"/>
              <w:rPr>
                <w:rFonts w:ascii="Times New Roman" w:hAnsi="Times New Roman"/>
                <w:sz w:val="28"/>
                <w:szCs w:val="28"/>
              </w:rPr>
            </w:pPr>
          </w:p>
        </w:tc>
        <w:tc>
          <w:tcPr>
            <w:tcW w:w="2029"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center"/>
              <w:rPr>
                <w:rFonts w:ascii="Times New Roman" w:hAnsi="Times New Roman"/>
                <w:sz w:val="28"/>
                <w:szCs w:val="28"/>
              </w:rPr>
            </w:pPr>
            <w:r>
              <w:rPr>
                <w:rFonts w:ascii="Times New Roman" w:hAnsi="Times New Roman"/>
                <w:sz w:val="28"/>
                <w:szCs w:val="28"/>
              </w:rPr>
              <w:t>488</w:t>
            </w:r>
          </w:p>
        </w:tc>
        <w:tc>
          <w:tcPr>
            <w:tcW w:w="1968"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ind w:left="224" w:hanging="224"/>
              <w:jc w:val="center"/>
              <w:rPr>
                <w:rFonts w:ascii="Times New Roman" w:hAnsi="Times New Roman"/>
                <w:sz w:val="28"/>
                <w:szCs w:val="28"/>
              </w:rPr>
            </w:pPr>
            <w:r>
              <w:rPr>
                <w:rFonts w:ascii="Times New Roman" w:hAnsi="Times New Roman"/>
                <w:sz w:val="28"/>
                <w:szCs w:val="28"/>
              </w:rPr>
              <w:t>2</w:t>
            </w:r>
          </w:p>
        </w:tc>
        <w:tc>
          <w:tcPr>
            <w:tcW w:w="194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center"/>
              <w:rPr>
                <w:rFonts w:ascii="Times New Roman" w:hAnsi="Times New Roman"/>
                <w:sz w:val="28"/>
                <w:szCs w:val="28"/>
              </w:rPr>
            </w:pPr>
            <w:r>
              <w:rPr>
                <w:rFonts w:ascii="Times New Roman" w:hAnsi="Times New Roman"/>
                <w:sz w:val="28"/>
                <w:szCs w:val="28"/>
              </w:rPr>
              <w:t>176</w:t>
            </w:r>
          </w:p>
        </w:tc>
        <w:tc>
          <w:tcPr>
            <w:tcW w:w="197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center"/>
              <w:rPr>
                <w:rFonts w:ascii="Times New Roman" w:hAnsi="Times New Roman"/>
                <w:sz w:val="28"/>
                <w:szCs w:val="28"/>
              </w:rPr>
            </w:pPr>
            <w:r>
              <w:rPr>
                <w:rFonts w:ascii="Times New Roman" w:hAnsi="Times New Roman"/>
                <w:sz w:val="28"/>
                <w:szCs w:val="28"/>
              </w:rPr>
              <w:t>0</w:t>
            </w:r>
          </w:p>
        </w:tc>
      </w:tr>
    </w:tbl>
    <w:p w:rsidR="00233D3F" w:rsidRDefault="00233D3F" w:rsidP="00233D3F">
      <w:pPr>
        <w:spacing w:after="0" w:line="240" w:lineRule="auto"/>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r>
        <w:rPr>
          <w:rFonts w:ascii="Times New Roman" w:hAnsi="Times New Roman"/>
          <w:sz w:val="28"/>
          <w:szCs w:val="28"/>
        </w:rPr>
        <w:t>В 2017 году активно велась работа по исполнению поручений Правительства РФ от 15.11.2016г. № АХ-П11-57пр, от 23.01.2017г. № АХ-П11-294, от 24.01.2017г. № АХ-П11-343 от 24.01.2017г., а именно проводились внеплановые проверки юридических лиц и индивидуальных предпринимателей, осуществляющих деятельность по розничной торговле спиртосодержащей непищевой продукцией, спиртосодержащими пищевыми добавками и ароматизаторами.</w:t>
      </w:r>
    </w:p>
    <w:p w:rsidR="00233D3F" w:rsidRDefault="00233D3F" w:rsidP="00233D3F">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Всего за указанный период проверено 176 объектов, реализующих спиртосодержащую пищевую продукцию, спиртосодержащие пищевые добавки и </w:t>
      </w:r>
      <w:proofErr w:type="spellStart"/>
      <w:r>
        <w:rPr>
          <w:rFonts w:ascii="Times New Roman" w:hAnsi="Times New Roman"/>
          <w:sz w:val="28"/>
          <w:szCs w:val="28"/>
        </w:rPr>
        <w:t>ароматизаторы</w:t>
      </w:r>
      <w:proofErr w:type="spellEnd"/>
      <w:r>
        <w:rPr>
          <w:rFonts w:ascii="Times New Roman" w:hAnsi="Times New Roman"/>
          <w:sz w:val="28"/>
          <w:szCs w:val="28"/>
        </w:rPr>
        <w:t xml:space="preserve">. Нарушений не выявлено. </w:t>
      </w:r>
    </w:p>
    <w:p w:rsidR="00233D3F" w:rsidRDefault="0098671E" w:rsidP="00233D3F">
      <w:pPr>
        <w:spacing w:after="0" w:line="240" w:lineRule="auto"/>
        <w:ind w:firstLine="708"/>
        <w:jc w:val="both"/>
        <w:rPr>
          <w:rFonts w:ascii="Times New Roman" w:hAnsi="Times New Roman"/>
          <w:sz w:val="28"/>
          <w:szCs w:val="28"/>
        </w:rPr>
      </w:pPr>
      <w:r>
        <w:rPr>
          <w:rFonts w:ascii="Times New Roman" w:hAnsi="Times New Roman"/>
          <w:sz w:val="28"/>
          <w:szCs w:val="28"/>
        </w:rPr>
        <w:t>П</w:t>
      </w:r>
      <w:r w:rsidR="00233D3F">
        <w:rPr>
          <w:rFonts w:ascii="Times New Roman" w:hAnsi="Times New Roman"/>
          <w:sz w:val="28"/>
          <w:szCs w:val="28"/>
        </w:rPr>
        <w:t>роверено 488 объектов, реализующих спиртосодержащую непищевую продукцию, из них у двух субъектов предпринимательской деятельности обнаружена в реализации спиртосодержащая жидкость, розничная продажа которой была временно приостановлена:</w:t>
      </w:r>
    </w:p>
    <w:p w:rsidR="00233D3F" w:rsidRDefault="00233D3F" w:rsidP="00233D3F">
      <w:pPr>
        <w:spacing w:after="0" w:line="240" w:lineRule="auto"/>
        <w:jc w:val="both"/>
        <w:rPr>
          <w:rFonts w:ascii="Times New Roman" w:hAnsi="Times New Roman"/>
          <w:sz w:val="28"/>
          <w:szCs w:val="28"/>
        </w:rPr>
      </w:pPr>
      <w:r>
        <w:rPr>
          <w:rFonts w:ascii="Times New Roman" w:hAnsi="Times New Roman"/>
          <w:sz w:val="28"/>
          <w:szCs w:val="28"/>
        </w:rPr>
        <w:t>1) в ООО ТД «</w:t>
      </w:r>
      <w:proofErr w:type="spellStart"/>
      <w:r>
        <w:rPr>
          <w:rFonts w:ascii="Times New Roman" w:hAnsi="Times New Roman"/>
          <w:sz w:val="28"/>
          <w:szCs w:val="28"/>
        </w:rPr>
        <w:t>Интерторг</w:t>
      </w:r>
      <w:proofErr w:type="spellEnd"/>
      <w:r>
        <w:rPr>
          <w:rFonts w:ascii="Times New Roman" w:hAnsi="Times New Roman"/>
          <w:sz w:val="28"/>
          <w:szCs w:val="28"/>
        </w:rPr>
        <w:t>» (международная торговая сеть «</w:t>
      </w:r>
      <w:proofErr w:type="spellStart"/>
      <w:r>
        <w:rPr>
          <w:rFonts w:ascii="Times New Roman" w:hAnsi="Times New Roman"/>
          <w:sz w:val="28"/>
          <w:szCs w:val="28"/>
        </w:rPr>
        <w:t>Спар</w:t>
      </w:r>
      <w:proofErr w:type="spellEnd"/>
      <w:r>
        <w:rPr>
          <w:rFonts w:ascii="Times New Roman" w:hAnsi="Times New Roman"/>
          <w:sz w:val="28"/>
          <w:szCs w:val="28"/>
        </w:rPr>
        <w:t xml:space="preserve">») произведен арест 42 штук (4,6 литра) спиртосодержащей непищевой продукции, реализующейся в нарушение требования постановления Главного государственного санитарного врача РФ от 23.12.2016г. №195 «О приостановлении розничной торговли спиртосодержащей непищевой продукции». На директора указанного предприятия был составлен протокол по ст. 14.2 </w:t>
      </w:r>
      <w:proofErr w:type="spellStart"/>
      <w:r>
        <w:rPr>
          <w:rFonts w:ascii="Times New Roman" w:hAnsi="Times New Roman"/>
          <w:sz w:val="28"/>
          <w:szCs w:val="28"/>
        </w:rPr>
        <w:t>КоАП</w:t>
      </w:r>
      <w:proofErr w:type="spellEnd"/>
      <w:r>
        <w:rPr>
          <w:rFonts w:ascii="Times New Roman" w:hAnsi="Times New Roman"/>
          <w:sz w:val="28"/>
          <w:szCs w:val="28"/>
        </w:rPr>
        <w:t xml:space="preserve"> РФ, решением Псковского городского суда производство по делу было прекращено в связи с малозначительностью; </w:t>
      </w:r>
    </w:p>
    <w:p w:rsidR="00233D3F" w:rsidRDefault="00233D3F" w:rsidP="00233D3F">
      <w:pPr>
        <w:spacing w:after="0" w:line="240" w:lineRule="auto"/>
        <w:jc w:val="both"/>
        <w:rPr>
          <w:rFonts w:ascii="Times New Roman" w:hAnsi="Times New Roman"/>
          <w:sz w:val="28"/>
          <w:szCs w:val="28"/>
        </w:rPr>
      </w:pPr>
      <w:r>
        <w:rPr>
          <w:rFonts w:ascii="Times New Roman" w:hAnsi="Times New Roman"/>
          <w:sz w:val="28"/>
          <w:szCs w:val="28"/>
        </w:rPr>
        <w:t xml:space="preserve">2) в магазине ИП Миронова Д.Н., расположенном по адресу </w:t>
      </w:r>
      <w:proofErr w:type="gramStart"/>
      <w:r>
        <w:rPr>
          <w:rFonts w:ascii="Times New Roman" w:hAnsi="Times New Roman"/>
          <w:sz w:val="28"/>
          <w:szCs w:val="28"/>
        </w:rPr>
        <w:t>г</w:t>
      </w:r>
      <w:proofErr w:type="gramEnd"/>
      <w:r>
        <w:rPr>
          <w:rFonts w:ascii="Times New Roman" w:hAnsi="Times New Roman"/>
          <w:sz w:val="28"/>
          <w:szCs w:val="28"/>
        </w:rPr>
        <w:t xml:space="preserve">. Псков, Октябрьский </w:t>
      </w:r>
      <w:proofErr w:type="spellStart"/>
      <w:r>
        <w:rPr>
          <w:rFonts w:ascii="Times New Roman" w:hAnsi="Times New Roman"/>
          <w:sz w:val="28"/>
          <w:szCs w:val="28"/>
        </w:rPr>
        <w:t>пр-т</w:t>
      </w:r>
      <w:proofErr w:type="spellEnd"/>
      <w:r>
        <w:rPr>
          <w:rFonts w:ascii="Times New Roman" w:hAnsi="Times New Roman"/>
          <w:sz w:val="28"/>
          <w:szCs w:val="28"/>
        </w:rPr>
        <w:t xml:space="preserve">, д. 62 установлена реализация спиртосодержащей жидкости, розничная продажа которой запрещена в соответствии с постановлением Главного государственного санитарного врача РФ от 12.10.2017г. №130. Указанная жидкость в количестве 125 единиц (16,25л.) арестована, на предпринимателя составлен протокол по ст. 14.2 </w:t>
      </w:r>
      <w:proofErr w:type="spellStart"/>
      <w:r>
        <w:rPr>
          <w:rFonts w:ascii="Times New Roman" w:hAnsi="Times New Roman"/>
          <w:sz w:val="28"/>
          <w:szCs w:val="28"/>
        </w:rPr>
        <w:t>КоАП</w:t>
      </w:r>
      <w:proofErr w:type="spellEnd"/>
      <w:r>
        <w:rPr>
          <w:rFonts w:ascii="Times New Roman" w:hAnsi="Times New Roman"/>
          <w:sz w:val="28"/>
          <w:szCs w:val="28"/>
        </w:rPr>
        <w:t xml:space="preserve"> РФ, дело передано в суд. В настоящий момент находится на стадии рассмотрения в суде.</w:t>
      </w:r>
    </w:p>
    <w:p w:rsidR="00233D3F" w:rsidRDefault="00233D3F" w:rsidP="00233D3F">
      <w:pPr>
        <w:spacing w:after="0" w:line="240" w:lineRule="auto"/>
        <w:ind w:firstLine="708"/>
        <w:jc w:val="both"/>
        <w:rPr>
          <w:rFonts w:ascii="Times New Roman" w:hAnsi="Times New Roman"/>
          <w:sz w:val="28"/>
          <w:szCs w:val="28"/>
        </w:rPr>
      </w:pPr>
      <w:r>
        <w:rPr>
          <w:rFonts w:ascii="Times New Roman" w:hAnsi="Times New Roman"/>
          <w:sz w:val="28"/>
          <w:szCs w:val="28"/>
        </w:rPr>
        <w:t>С 28.12.2016г.</w:t>
      </w:r>
      <w:r>
        <w:rPr>
          <w:rFonts w:ascii="Times New Roman" w:hAnsi="Times New Roman"/>
          <w:b/>
          <w:sz w:val="28"/>
          <w:szCs w:val="28"/>
        </w:rPr>
        <w:t xml:space="preserve"> </w:t>
      </w:r>
      <w:r>
        <w:rPr>
          <w:rFonts w:ascii="Times New Roman" w:hAnsi="Times New Roman"/>
          <w:sz w:val="28"/>
          <w:szCs w:val="28"/>
        </w:rPr>
        <w:t xml:space="preserve">организована и постоянно действует «горячая линия» для граждан и предпринимателей по вопросам реализации Постановлений Главного государственного санитарного врача РФ от 23.12.2016г. №195, от 24.01.2017г. №7, от 27.03.2017г. №39, от 06.07.2017г. № 96, от 12.10.2017г. № 130. За рассматриваемый период поступило 8 обращений ИП и ЮЛ за консультациями по вопросам реализации указанного Постановления и 1 сообщение от гражданина о </w:t>
      </w:r>
      <w:proofErr w:type="gramStart"/>
      <w:r>
        <w:rPr>
          <w:rFonts w:ascii="Times New Roman" w:hAnsi="Times New Roman"/>
          <w:sz w:val="28"/>
          <w:szCs w:val="28"/>
        </w:rPr>
        <w:t>реализации</w:t>
      </w:r>
      <w:proofErr w:type="gramEnd"/>
      <w:r>
        <w:rPr>
          <w:rFonts w:ascii="Times New Roman" w:hAnsi="Times New Roman"/>
          <w:sz w:val="28"/>
          <w:szCs w:val="28"/>
        </w:rPr>
        <w:t xml:space="preserve"> запрещенной к продаже спиртосодержащей жидкости, которое в ходе проверки подтвердилось.</w:t>
      </w: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r>
        <w:rPr>
          <w:noProof/>
          <w:lang w:eastAsia="ru-RU"/>
        </w:rPr>
        <w:lastRenderedPageBreak/>
        <w:drawing>
          <wp:inline distT="0" distB="0" distL="0" distR="0">
            <wp:extent cx="5457825" cy="3086100"/>
            <wp:effectExtent l="19050" t="0" r="9525"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Также в 2017 году исследовано 24 пробы </w:t>
      </w:r>
      <w:proofErr w:type="spellStart"/>
      <w:r>
        <w:rPr>
          <w:rFonts w:ascii="Times New Roman" w:hAnsi="Times New Roman"/>
          <w:sz w:val="28"/>
          <w:szCs w:val="28"/>
        </w:rPr>
        <w:t>стеклоомывающей</w:t>
      </w:r>
      <w:proofErr w:type="spellEnd"/>
      <w:r>
        <w:rPr>
          <w:rFonts w:ascii="Times New Roman" w:hAnsi="Times New Roman"/>
          <w:sz w:val="28"/>
          <w:szCs w:val="28"/>
        </w:rPr>
        <w:t xml:space="preserve"> жидкости, из них в двух случаях выявлено наличие в образцах метилового спирта в количестве, превышающем установленную норму - не более 0,05%:</w:t>
      </w:r>
    </w:p>
    <w:p w:rsidR="00233D3F" w:rsidRDefault="00233D3F" w:rsidP="00233D3F">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«ICE STORM» марки «</w:t>
      </w:r>
      <w:proofErr w:type="spellStart"/>
      <w:r>
        <w:rPr>
          <w:rFonts w:ascii="Times New Roman" w:hAnsi="Times New Roman"/>
          <w:sz w:val="28"/>
          <w:szCs w:val="28"/>
        </w:rPr>
        <w:t>Crystal</w:t>
      </w:r>
      <w:proofErr w:type="spellEnd"/>
      <w:r>
        <w:rPr>
          <w:rFonts w:ascii="Times New Roman" w:hAnsi="Times New Roman"/>
          <w:sz w:val="28"/>
          <w:szCs w:val="28"/>
        </w:rPr>
        <w:t xml:space="preserve"> </w:t>
      </w:r>
      <w:proofErr w:type="spellStart"/>
      <w:r>
        <w:rPr>
          <w:rFonts w:ascii="Times New Roman" w:hAnsi="Times New Roman"/>
          <w:sz w:val="28"/>
          <w:szCs w:val="28"/>
        </w:rPr>
        <w:t>Clear</w:t>
      </w:r>
      <w:proofErr w:type="spellEnd"/>
      <w:r>
        <w:rPr>
          <w:rFonts w:ascii="Times New Roman" w:hAnsi="Times New Roman"/>
          <w:sz w:val="28"/>
          <w:szCs w:val="28"/>
        </w:rPr>
        <w:t>» (изготовитель  ООО «</w:t>
      </w:r>
      <w:proofErr w:type="spellStart"/>
      <w:r>
        <w:rPr>
          <w:rFonts w:ascii="Times New Roman" w:hAnsi="Times New Roman"/>
          <w:sz w:val="28"/>
          <w:szCs w:val="28"/>
        </w:rPr>
        <w:t>Регалит</w:t>
      </w:r>
      <w:proofErr w:type="spellEnd"/>
      <w:r>
        <w:rPr>
          <w:rFonts w:ascii="Times New Roman" w:hAnsi="Times New Roman"/>
          <w:sz w:val="28"/>
          <w:szCs w:val="28"/>
        </w:rPr>
        <w:t xml:space="preserve">», адрес производства Московская область, Раменский район, д. </w:t>
      </w:r>
      <w:proofErr w:type="spellStart"/>
      <w:r>
        <w:rPr>
          <w:rFonts w:ascii="Times New Roman" w:hAnsi="Times New Roman"/>
          <w:sz w:val="28"/>
          <w:szCs w:val="28"/>
        </w:rPr>
        <w:t>Островцы</w:t>
      </w:r>
      <w:proofErr w:type="spellEnd"/>
      <w:r>
        <w:rPr>
          <w:rFonts w:ascii="Times New Roman" w:hAnsi="Times New Roman"/>
          <w:sz w:val="28"/>
          <w:szCs w:val="28"/>
        </w:rPr>
        <w:t xml:space="preserve">, 14 км от МКАД  по </w:t>
      </w:r>
      <w:proofErr w:type="spellStart"/>
      <w:r>
        <w:rPr>
          <w:rFonts w:ascii="Times New Roman" w:hAnsi="Times New Roman"/>
          <w:sz w:val="28"/>
          <w:szCs w:val="28"/>
        </w:rPr>
        <w:t>Новорязанскому</w:t>
      </w:r>
      <w:proofErr w:type="spellEnd"/>
      <w:r>
        <w:rPr>
          <w:rFonts w:ascii="Times New Roman" w:hAnsi="Times New Roman"/>
          <w:sz w:val="28"/>
          <w:szCs w:val="28"/>
        </w:rPr>
        <w:t xml:space="preserve"> шоссе), объемом 5л. По результатам лабораторно-инструментального исследования указанной </w:t>
      </w:r>
      <w:proofErr w:type="spellStart"/>
      <w:r>
        <w:rPr>
          <w:rFonts w:ascii="Times New Roman" w:hAnsi="Times New Roman"/>
          <w:sz w:val="28"/>
          <w:szCs w:val="28"/>
        </w:rPr>
        <w:t>стеклоомывающей</w:t>
      </w:r>
      <w:proofErr w:type="spellEnd"/>
      <w:r>
        <w:rPr>
          <w:rFonts w:ascii="Times New Roman" w:hAnsi="Times New Roman"/>
          <w:sz w:val="28"/>
          <w:szCs w:val="28"/>
        </w:rPr>
        <w:t xml:space="preserve"> жидкости обнаружен метиловый спирт (метанол) в 360 раз превышающий норматив (в концентрации 900 мл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xml:space="preserve">етанола на 5 литров </w:t>
      </w:r>
      <w:proofErr w:type="spellStart"/>
      <w:r>
        <w:rPr>
          <w:rFonts w:ascii="Times New Roman" w:hAnsi="Times New Roman"/>
          <w:sz w:val="28"/>
          <w:szCs w:val="28"/>
        </w:rPr>
        <w:t>стеклоомывающей</w:t>
      </w:r>
      <w:proofErr w:type="spellEnd"/>
      <w:r>
        <w:rPr>
          <w:rFonts w:ascii="Times New Roman" w:hAnsi="Times New Roman"/>
          <w:sz w:val="28"/>
          <w:szCs w:val="28"/>
        </w:rPr>
        <w:t xml:space="preserve"> жидкости, что не соответствует главе II раздела 5 «Единым санитарно-эпидемиологическим и гигиеническим требованиям к товарам, подлежащим санитарно-эпидемиологическому надзору» №299 от 28.05.2010г.)</w:t>
      </w:r>
    </w:p>
    <w:p w:rsidR="00233D3F" w:rsidRDefault="00233D3F" w:rsidP="00233D3F">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«HI-TECH» (производитель  ООО «</w:t>
      </w:r>
      <w:proofErr w:type="spellStart"/>
      <w:r>
        <w:rPr>
          <w:rFonts w:ascii="Times New Roman" w:hAnsi="Times New Roman"/>
          <w:sz w:val="28"/>
          <w:szCs w:val="28"/>
        </w:rPr>
        <w:t>Даймонд</w:t>
      </w:r>
      <w:proofErr w:type="spellEnd"/>
      <w:r>
        <w:rPr>
          <w:rFonts w:ascii="Times New Roman" w:hAnsi="Times New Roman"/>
          <w:sz w:val="28"/>
          <w:szCs w:val="28"/>
        </w:rPr>
        <w:t xml:space="preserve"> </w:t>
      </w:r>
      <w:proofErr w:type="spellStart"/>
      <w:r>
        <w:rPr>
          <w:rFonts w:ascii="Times New Roman" w:hAnsi="Times New Roman"/>
          <w:sz w:val="28"/>
          <w:szCs w:val="28"/>
        </w:rPr>
        <w:t>Тулз</w:t>
      </w:r>
      <w:proofErr w:type="spellEnd"/>
      <w:r>
        <w:rPr>
          <w:rFonts w:ascii="Times New Roman" w:hAnsi="Times New Roman"/>
          <w:sz w:val="28"/>
          <w:szCs w:val="28"/>
        </w:rPr>
        <w:t xml:space="preserve">», г. Москва, ул. Крупской, д. 11-А), объемом 5л. По результатам лабораторно-инструментального исследования указанной </w:t>
      </w:r>
      <w:proofErr w:type="spellStart"/>
      <w:r>
        <w:rPr>
          <w:rFonts w:ascii="Times New Roman" w:hAnsi="Times New Roman"/>
          <w:sz w:val="28"/>
          <w:szCs w:val="28"/>
        </w:rPr>
        <w:t>стеклоомывающей</w:t>
      </w:r>
      <w:proofErr w:type="spellEnd"/>
      <w:r>
        <w:rPr>
          <w:rFonts w:ascii="Times New Roman" w:hAnsi="Times New Roman"/>
          <w:sz w:val="28"/>
          <w:szCs w:val="28"/>
        </w:rPr>
        <w:t xml:space="preserve"> жидкости обнаружен метиловый спирт (метанол) в 380 раз превышающий норматив (в концентрации 950 мл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xml:space="preserve">етанола на 5 литров </w:t>
      </w:r>
      <w:proofErr w:type="spellStart"/>
      <w:r>
        <w:rPr>
          <w:rFonts w:ascii="Times New Roman" w:hAnsi="Times New Roman"/>
          <w:sz w:val="28"/>
          <w:szCs w:val="28"/>
        </w:rPr>
        <w:t>стеклоомывающей</w:t>
      </w:r>
      <w:proofErr w:type="spellEnd"/>
      <w:r>
        <w:rPr>
          <w:rFonts w:ascii="Times New Roman" w:hAnsi="Times New Roman"/>
          <w:sz w:val="28"/>
          <w:szCs w:val="28"/>
        </w:rPr>
        <w:t xml:space="preserve"> жидкости).</w:t>
      </w:r>
    </w:p>
    <w:p w:rsidR="00233D3F" w:rsidRDefault="00233D3F" w:rsidP="00233D3F">
      <w:pPr>
        <w:spacing w:after="0" w:line="240" w:lineRule="auto"/>
        <w:ind w:firstLine="708"/>
        <w:jc w:val="both"/>
        <w:rPr>
          <w:rFonts w:ascii="Times New Roman" w:hAnsi="Times New Roman"/>
          <w:sz w:val="28"/>
          <w:szCs w:val="28"/>
        </w:rPr>
      </w:pPr>
      <w:r>
        <w:rPr>
          <w:rFonts w:ascii="Times New Roman" w:hAnsi="Times New Roman"/>
          <w:sz w:val="28"/>
          <w:szCs w:val="28"/>
        </w:rPr>
        <w:t xml:space="preserve">Указанная </w:t>
      </w:r>
      <w:proofErr w:type="spellStart"/>
      <w:r>
        <w:rPr>
          <w:rFonts w:ascii="Times New Roman" w:hAnsi="Times New Roman"/>
          <w:sz w:val="28"/>
          <w:szCs w:val="28"/>
        </w:rPr>
        <w:t>стеклоомывающая</w:t>
      </w:r>
      <w:proofErr w:type="spellEnd"/>
      <w:r>
        <w:rPr>
          <w:rFonts w:ascii="Times New Roman" w:hAnsi="Times New Roman"/>
          <w:sz w:val="28"/>
          <w:szCs w:val="28"/>
        </w:rPr>
        <w:t xml:space="preserve"> жидкость была изъята из оборота, </w:t>
      </w:r>
      <w:proofErr w:type="gramStart"/>
      <w:r>
        <w:rPr>
          <w:rFonts w:ascii="Times New Roman" w:hAnsi="Times New Roman"/>
          <w:sz w:val="28"/>
          <w:szCs w:val="28"/>
        </w:rPr>
        <w:t>лица, реализующие запрещенную продукцию привлечены</w:t>
      </w:r>
      <w:proofErr w:type="gramEnd"/>
      <w:r>
        <w:rPr>
          <w:rFonts w:ascii="Times New Roman" w:hAnsi="Times New Roman"/>
          <w:sz w:val="28"/>
          <w:szCs w:val="28"/>
        </w:rPr>
        <w:t xml:space="preserve"> к административной ответственности. Кроме того, в Федеральную службу и территориальные Управления Роспотребнадзора, на территориях которых данная жидкость была произведена либо приобретена, было сообщено о фактах нарушения</w:t>
      </w:r>
      <w:r>
        <w:t xml:space="preserve"> </w:t>
      </w:r>
      <w:r>
        <w:rPr>
          <w:rFonts w:ascii="Times New Roman" w:hAnsi="Times New Roman"/>
          <w:sz w:val="28"/>
          <w:szCs w:val="28"/>
        </w:rPr>
        <w:t xml:space="preserve">Постановления Главного государственного врача Российской Федерации от 11.07.2007г. № 47, запрещающего использование метилового спирта в средствах по уходу за автотранспортом, а также продажа населению указанных средств. </w:t>
      </w:r>
    </w:p>
    <w:p w:rsidR="00233D3F" w:rsidRDefault="00233D3F" w:rsidP="00233D3F">
      <w:pPr>
        <w:spacing w:after="0" w:line="240" w:lineRule="auto"/>
        <w:ind w:firstLine="708"/>
        <w:jc w:val="both"/>
        <w:rPr>
          <w:rFonts w:ascii="Times New Roman" w:hAnsi="Times New Roman"/>
          <w:sz w:val="28"/>
          <w:szCs w:val="28"/>
        </w:rPr>
      </w:pPr>
    </w:p>
    <w:p w:rsidR="00233D3F" w:rsidRDefault="00233D3F" w:rsidP="00233D3F">
      <w:pPr>
        <w:spacing w:after="0" w:line="240" w:lineRule="auto"/>
        <w:ind w:firstLine="708"/>
        <w:jc w:val="both"/>
        <w:rPr>
          <w:rFonts w:ascii="Times New Roman" w:hAnsi="Times New Roman"/>
          <w:sz w:val="28"/>
          <w:szCs w:val="28"/>
        </w:rPr>
      </w:pPr>
    </w:p>
    <w:p w:rsidR="00233D3F" w:rsidRPr="006D5AA3" w:rsidRDefault="00233D3F" w:rsidP="00233D3F">
      <w:pPr>
        <w:spacing w:after="200" w:line="276" w:lineRule="auto"/>
        <w:jc w:val="center"/>
        <w:rPr>
          <w:rFonts w:ascii="Times New Roman" w:eastAsia="Times New Roman" w:hAnsi="Times New Roman"/>
          <w:b/>
          <w:sz w:val="28"/>
        </w:rPr>
      </w:pPr>
      <w:r w:rsidRPr="006D5AA3">
        <w:rPr>
          <w:rFonts w:ascii="Times New Roman" w:eastAsia="Times New Roman" w:hAnsi="Times New Roman"/>
          <w:b/>
          <w:sz w:val="28"/>
        </w:rPr>
        <w:lastRenderedPageBreak/>
        <w:t>Структура  выявленных  нарушений в  2017году</w:t>
      </w:r>
      <w:proofErr w:type="gramStart"/>
      <w:r w:rsidRPr="006D5AA3">
        <w:rPr>
          <w:rFonts w:ascii="Times New Roman" w:eastAsia="Times New Roman" w:hAnsi="Times New Roman"/>
          <w:b/>
          <w:sz w:val="28"/>
        </w:rPr>
        <w:t xml:space="preserve"> (%).</w:t>
      </w:r>
      <w:proofErr w:type="gramEnd"/>
    </w:p>
    <w:p w:rsidR="00233D3F" w:rsidRDefault="00233D3F" w:rsidP="00233D3F">
      <w:pPr>
        <w:spacing w:after="200" w:line="276" w:lineRule="auto"/>
        <w:jc w:val="center"/>
        <w:rPr>
          <w:rFonts w:ascii="Times New Roman" w:eastAsia="Times New Roman" w:hAnsi="Times New Roman"/>
          <w:sz w:val="28"/>
        </w:rPr>
      </w:pPr>
      <w:r>
        <w:rPr>
          <w:rFonts w:ascii="Times New Roman" w:eastAsia="Times New Roman" w:hAnsi="Times New Roman"/>
          <w:noProof/>
          <w:sz w:val="28"/>
          <w:lang w:eastAsia="ru-RU"/>
        </w:rPr>
        <w:drawing>
          <wp:inline distT="0" distB="0" distL="0" distR="0">
            <wp:extent cx="5057775" cy="2724150"/>
            <wp:effectExtent l="19050" t="0" r="9525" b="0"/>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0" cstate="print"/>
                    <a:srcRect/>
                    <a:stretch>
                      <a:fillRect/>
                    </a:stretch>
                  </pic:blipFill>
                  <pic:spPr bwMode="auto">
                    <a:xfrm>
                      <a:off x="0" y="0"/>
                      <a:ext cx="5057775" cy="2724150"/>
                    </a:xfrm>
                    <a:prstGeom prst="rect">
                      <a:avLst/>
                    </a:prstGeom>
                    <a:noFill/>
                    <a:ln w="9525">
                      <a:noFill/>
                      <a:miter lim="800000"/>
                      <a:headEnd/>
                      <a:tailEnd/>
                    </a:ln>
                  </pic:spPr>
                </pic:pic>
              </a:graphicData>
            </a:graphic>
          </wp:inline>
        </w:drawing>
      </w:r>
    </w:p>
    <w:p w:rsidR="00233D3F" w:rsidRDefault="00233D3F" w:rsidP="00233D3F">
      <w:pPr>
        <w:tabs>
          <w:tab w:val="left" w:pos="426"/>
        </w:tabs>
        <w:spacing w:after="0" w:line="240" w:lineRule="auto"/>
        <w:ind w:left="142" w:firstLine="992"/>
        <w:jc w:val="both"/>
        <w:rPr>
          <w:rFonts w:ascii="Times New Roman" w:eastAsia="Times New Roman" w:hAnsi="Times New Roman"/>
          <w:sz w:val="28"/>
        </w:rPr>
      </w:pPr>
      <w:r>
        <w:rPr>
          <w:rFonts w:ascii="Times New Roman" w:eastAsia="Times New Roman" w:hAnsi="Times New Roman"/>
          <w:sz w:val="28"/>
        </w:rPr>
        <w:t xml:space="preserve">В ходе всех контрольно-надзорных мероприятий (проверок и административных расследований) в отчетном году выявлено 797 нарушений законодательства в сфере защиты прав потребителей, что  составило 2 нарушения на одно мероприятие по контролю. Из них нарушений требований Закона РФ "О защите прав потребителей" - 167, требований технических регламентов - 115, требований иных законов и нормативных актов - 200. </w:t>
      </w:r>
      <w:proofErr w:type="gramStart"/>
      <w:r>
        <w:rPr>
          <w:rFonts w:ascii="Times New Roman" w:eastAsia="Times New Roman" w:hAnsi="Times New Roman"/>
          <w:sz w:val="28"/>
        </w:rPr>
        <w:t xml:space="preserve">К  иным  законам  и  нормативным  актам относятся  Законы  </w:t>
      </w:r>
      <w:r>
        <w:rPr>
          <w:rFonts w:ascii="Times New Roman" w:hAnsi="Times New Roman"/>
          <w:sz w:val="28"/>
          <w:szCs w:val="28"/>
        </w:rPr>
        <w:t>«Об основах туристской деятельности в Российской Федерации»,  «О связи»,  «О почтовой связи», «О потребительском кредите (займе)» правила, утвержденные  Правительством РФ,  например,    Правила  продажи отдельных видов товаров,  Правила продажи товаров по образцам,  Правила  оказания услуг по реализации туристского продукта, Правила  перевозок пассажиров и багажа автомобильным транспортом и городским наземным электрическим транспортом и другие</w:t>
      </w:r>
      <w:proofErr w:type="gramEnd"/>
      <w:r>
        <w:rPr>
          <w:rFonts w:ascii="Times New Roman" w:hAnsi="Times New Roman"/>
          <w:sz w:val="28"/>
          <w:szCs w:val="28"/>
        </w:rPr>
        <w:t xml:space="preserve"> </w:t>
      </w:r>
      <w:r>
        <w:rPr>
          <w:rFonts w:ascii="Times New Roman" w:hAnsi="Times New Roman"/>
          <w:sz w:val="24"/>
          <w:szCs w:val="24"/>
        </w:rPr>
        <w:t xml:space="preserve"> </w:t>
      </w:r>
      <w:r>
        <w:rPr>
          <w:rFonts w:ascii="Times New Roman" w:eastAsia="Times New Roman" w:hAnsi="Times New Roman"/>
          <w:sz w:val="28"/>
        </w:rPr>
        <w:t xml:space="preserve">нормативные  правовые  акты, регулирующие  отношения  в  сфере  защиты  прав  потребителей.  </w:t>
      </w:r>
    </w:p>
    <w:p w:rsidR="00233D3F" w:rsidRDefault="00233D3F" w:rsidP="00233D3F">
      <w:pPr>
        <w:tabs>
          <w:tab w:val="left" w:pos="426"/>
        </w:tabs>
        <w:spacing w:after="0" w:line="240" w:lineRule="auto"/>
        <w:ind w:left="142" w:firstLine="992"/>
        <w:jc w:val="both"/>
        <w:rPr>
          <w:rFonts w:ascii="Times New Roman" w:eastAsia="Times New Roman" w:hAnsi="Times New Roman"/>
          <w:sz w:val="28"/>
        </w:rPr>
      </w:pPr>
    </w:p>
    <w:p w:rsidR="00233D3F" w:rsidRDefault="00233D3F" w:rsidP="00233D3F">
      <w:pPr>
        <w:tabs>
          <w:tab w:val="left" w:pos="426"/>
        </w:tabs>
        <w:spacing w:after="0" w:line="240" w:lineRule="auto"/>
        <w:ind w:left="142" w:firstLine="992"/>
        <w:jc w:val="center"/>
        <w:rPr>
          <w:rFonts w:ascii="Times New Roman" w:eastAsia="Times New Roman" w:hAnsi="Times New Roman"/>
          <w:b/>
          <w:sz w:val="28"/>
        </w:rPr>
      </w:pPr>
      <w:r>
        <w:rPr>
          <w:rFonts w:ascii="Times New Roman" w:eastAsia="Times New Roman" w:hAnsi="Times New Roman"/>
          <w:b/>
          <w:sz w:val="28"/>
        </w:rPr>
        <w:t>Доля  выявленных нарушений на  потребительском  рынке в разрезе статей Закона «О защите прав потребителей</w:t>
      </w:r>
      <w:proofErr w:type="gramStart"/>
      <w:r>
        <w:rPr>
          <w:rFonts w:ascii="Times New Roman" w:eastAsia="Times New Roman" w:hAnsi="Times New Roman"/>
          <w:b/>
          <w:sz w:val="28"/>
        </w:rPr>
        <w:t>» (%).</w:t>
      </w:r>
      <w:proofErr w:type="gramEnd"/>
    </w:p>
    <w:p w:rsidR="00233D3F" w:rsidRDefault="00233D3F" w:rsidP="00233D3F">
      <w:pPr>
        <w:tabs>
          <w:tab w:val="left" w:pos="426"/>
        </w:tabs>
        <w:spacing w:after="0" w:line="240" w:lineRule="auto"/>
        <w:jc w:val="both"/>
        <w:rPr>
          <w:rFonts w:ascii="Times New Roman" w:eastAsia="Times New Roman" w:hAnsi="Times New Roman"/>
          <w:sz w:val="28"/>
        </w:rPr>
      </w:pPr>
      <w:r>
        <w:rPr>
          <w:rFonts w:ascii="Times New Roman" w:eastAsia="Times New Roman" w:hAnsi="Times New Roman"/>
          <w:noProof/>
          <w:sz w:val="28"/>
          <w:lang w:eastAsia="ru-RU"/>
        </w:rPr>
        <w:drawing>
          <wp:inline distT="0" distB="0" distL="0" distR="0">
            <wp:extent cx="5210175" cy="2657475"/>
            <wp:effectExtent l="19050" t="0" r="9525" b="0"/>
            <wp:docPr id="7"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1" cstate="print"/>
                    <a:srcRect/>
                    <a:stretch>
                      <a:fillRect/>
                    </a:stretch>
                  </pic:blipFill>
                  <pic:spPr bwMode="auto">
                    <a:xfrm>
                      <a:off x="0" y="0"/>
                      <a:ext cx="5210175" cy="2657475"/>
                    </a:xfrm>
                    <a:prstGeom prst="rect">
                      <a:avLst/>
                    </a:prstGeom>
                    <a:noFill/>
                    <a:ln w="9525">
                      <a:noFill/>
                      <a:miter lim="800000"/>
                      <a:headEnd/>
                      <a:tailEnd/>
                    </a:ln>
                  </pic:spPr>
                </pic:pic>
              </a:graphicData>
            </a:graphic>
          </wp:inline>
        </w:drawing>
      </w:r>
    </w:p>
    <w:p w:rsidR="00233D3F" w:rsidRDefault="00233D3F" w:rsidP="00233D3F">
      <w:pPr>
        <w:tabs>
          <w:tab w:val="left" w:pos="426"/>
        </w:tabs>
        <w:spacing w:after="0" w:line="240" w:lineRule="auto"/>
        <w:ind w:left="142" w:firstLine="992"/>
        <w:jc w:val="both"/>
        <w:rPr>
          <w:rFonts w:ascii="Times New Roman" w:eastAsia="Times New Roman" w:hAnsi="Times New Roman"/>
          <w:sz w:val="28"/>
        </w:rPr>
      </w:pPr>
    </w:p>
    <w:p w:rsidR="00233D3F" w:rsidRDefault="00233D3F" w:rsidP="00233D3F">
      <w:pPr>
        <w:tabs>
          <w:tab w:val="left" w:pos="426"/>
        </w:tabs>
        <w:spacing w:after="0" w:line="240" w:lineRule="auto"/>
        <w:ind w:left="142" w:firstLine="992"/>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Наибольшая  доля  выявляемых  нарушений закона  «О  защите  прав  потребителей» в 2017 году по-прежнему, приходится  на нарушения  прав  потребителей установленных  статьями  8-10 и 12  данного Закона – это право  на  получение  полной  и  достоверной  информации  о товаре, работе, услуге и лицах, их предоставляющих. </w:t>
      </w: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1374"/>
        <w:gridCol w:w="1374"/>
        <w:gridCol w:w="1204"/>
        <w:gridCol w:w="2249"/>
        <w:gridCol w:w="1704"/>
      </w:tblGrid>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Наименование  </w:t>
            </w:r>
            <w:proofErr w:type="gramStart"/>
            <w:r>
              <w:rPr>
                <w:rFonts w:ascii="Times New Roman" w:eastAsia="Times New Roman" w:hAnsi="Times New Roman"/>
                <w:sz w:val="28"/>
                <w:szCs w:val="28"/>
              </w:rPr>
              <w:t>ТР</w:t>
            </w:r>
            <w:proofErr w:type="gramEnd"/>
            <w:r>
              <w:rPr>
                <w:rFonts w:ascii="Times New Roman" w:eastAsia="Times New Roman" w:hAnsi="Times New Roman"/>
                <w:sz w:val="28"/>
                <w:szCs w:val="28"/>
              </w:rPr>
              <w:t xml:space="preserve"> ТС</w:t>
            </w:r>
          </w:p>
        </w:tc>
        <w:tc>
          <w:tcPr>
            <w:tcW w:w="132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Проверено субъектов надзора</w:t>
            </w:r>
          </w:p>
        </w:tc>
        <w:tc>
          <w:tcPr>
            <w:tcW w:w="141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Проверено объектов </w:t>
            </w:r>
          </w:p>
        </w:tc>
        <w:tc>
          <w:tcPr>
            <w:tcW w:w="1271"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Число проверок (№ 294-ФЗ) </w:t>
            </w:r>
          </w:p>
        </w:tc>
        <w:tc>
          <w:tcPr>
            <w:tcW w:w="216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Число проверок с привлечением лабораторных и инструментальных методов исследования</w:t>
            </w:r>
          </w:p>
        </w:tc>
        <w:tc>
          <w:tcPr>
            <w:tcW w:w="1640"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Число проверок с выявленными нарушениями</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004/2011 «О безопасности низковольтного оборудования»</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0</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0</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005/2011 «О безопасности упаковки»</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41</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104</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35</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7</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0</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8"/>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009/2011 «О безопасности парфюмерно-косметической продукции»</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43</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54</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43</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5</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ind w:firstLine="1134"/>
              <w:jc w:val="both"/>
              <w:rPr>
                <w:rFonts w:ascii="Times New Roman" w:eastAsia="Times New Roman" w:hAnsi="Times New Roman"/>
                <w:sz w:val="28"/>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017/2011 «О безопасности продукции легкой промышленности»</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86</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100</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90</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18</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62</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ind w:firstLine="1134"/>
              <w:jc w:val="both"/>
              <w:rPr>
                <w:rFonts w:ascii="Times New Roman" w:eastAsia="Times New Roman" w:hAnsi="Times New Roman"/>
                <w:sz w:val="28"/>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019/2011 «О безопасности средств индивидуальной защиты»</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3</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3</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0</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ind w:firstLine="1134"/>
              <w:jc w:val="both"/>
              <w:rPr>
                <w:rFonts w:ascii="Times New Roman" w:eastAsia="Times New Roman" w:hAnsi="Times New Roman"/>
                <w:sz w:val="28"/>
              </w:rPr>
            </w:pP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025/2012 «О безопасности мебельной продукции»</w:t>
            </w:r>
          </w:p>
        </w:tc>
        <w:tc>
          <w:tcPr>
            <w:tcW w:w="1325"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2</w:t>
            </w:r>
          </w:p>
        </w:tc>
        <w:tc>
          <w:tcPr>
            <w:tcW w:w="1414"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2</w:t>
            </w:r>
          </w:p>
        </w:tc>
        <w:tc>
          <w:tcPr>
            <w:tcW w:w="1271"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2</w:t>
            </w:r>
          </w:p>
        </w:tc>
        <w:tc>
          <w:tcPr>
            <w:tcW w:w="2162"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0</w:t>
            </w:r>
          </w:p>
        </w:tc>
        <w:tc>
          <w:tcPr>
            <w:tcW w:w="1640" w:type="dxa"/>
            <w:tcBorders>
              <w:top w:val="single" w:sz="4" w:space="0" w:color="auto"/>
              <w:left w:val="single" w:sz="4" w:space="0" w:color="auto"/>
              <w:bottom w:val="single" w:sz="4" w:space="0" w:color="auto"/>
              <w:right w:val="single" w:sz="4" w:space="0" w:color="auto"/>
            </w:tcBorders>
          </w:tcPr>
          <w:p w:rsidR="00233D3F" w:rsidRDefault="00233D3F">
            <w:pPr>
              <w:spacing w:after="0" w:line="240" w:lineRule="auto"/>
              <w:jc w:val="both"/>
              <w:rPr>
                <w:rFonts w:ascii="Times New Roman" w:eastAsia="Times New Roman" w:hAnsi="Times New Roman"/>
                <w:sz w:val="24"/>
                <w:szCs w:val="24"/>
              </w:rPr>
            </w:pPr>
          </w:p>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2</w:t>
            </w:r>
          </w:p>
        </w:tc>
      </w:tr>
      <w:tr w:rsidR="00233D3F" w:rsidTr="00233D3F">
        <w:tc>
          <w:tcPr>
            <w:tcW w:w="2467"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ind w:firstLine="142"/>
              <w:jc w:val="center"/>
              <w:rPr>
                <w:rFonts w:ascii="Times New Roman" w:eastAsia="Times New Roman" w:hAnsi="Times New Roman"/>
                <w:sz w:val="28"/>
              </w:rPr>
            </w:pPr>
            <w:r>
              <w:rPr>
                <w:rFonts w:ascii="Times New Roman" w:eastAsia="Times New Roman" w:hAnsi="Times New Roman"/>
                <w:sz w:val="28"/>
              </w:rPr>
              <w:t>ИТОГО</w:t>
            </w:r>
          </w:p>
        </w:tc>
        <w:tc>
          <w:tcPr>
            <w:tcW w:w="1325"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179</w:t>
            </w:r>
          </w:p>
        </w:tc>
        <w:tc>
          <w:tcPr>
            <w:tcW w:w="1414"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177</w:t>
            </w:r>
          </w:p>
        </w:tc>
        <w:tc>
          <w:tcPr>
            <w:tcW w:w="2162"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30</w:t>
            </w:r>
          </w:p>
        </w:tc>
        <w:tc>
          <w:tcPr>
            <w:tcW w:w="1640" w:type="dxa"/>
            <w:tcBorders>
              <w:top w:val="single" w:sz="4" w:space="0" w:color="auto"/>
              <w:left w:val="single" w:sz="4" w:space="0" w:color="auto"/>
              <w:bottom w:val="single" w:sz="4" w:space="0" w:color="auto"/>
              <w:right w:val="single" w:sz="4" w:space="0" w:color="auto"/>
            </w:tcBorders>
            <w:hideMark/>
          </w:tcPr>
          <w:p w:rsidR="00233D3F" w:rsidRDefault="00233D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66</w:t>
            </w:r>
          </w:p>
        </w:tc>
      </w:tr>
    </w:tbl>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В  2017  году  в  ходе проведения  проверок  за  соблюдением  требований  6  технических  регламентов:</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lastRenderedPageBreak/>
        <w:t>-</w:t>
      </w:r>
      <w: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004/2011 «О безопасности низковольтного оборудования»;</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w:t>
      </w:r>
      <w: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005/2011 «О безопасности упаковки»;</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009/2011 «О безопасности парфюмерно-косметической продукции»;</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010/2011 «О безопасности машин и оборудования»;</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017/2011 «О безопасности продукции легкой промышленности»;</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019/2011 «О безопасности средств индивидуальной защиты»;</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w:t>
      </w:r>
      <w:proofErr w:type="gramStart"/>
      <w:r>
        <w:rPr>
          <w:rFonts w:ascii="Times New Roman" w:eastAsia="Times New Roman" w:hAnsi="Times New Roman"/>
          <w:sz w:val="28"/>
        </w:rPr>
        <w:t>ТР</w:t>
      </w:r>
      <w:proofErr w:type="gramEnd"/>
      <w:r>
        <w:rPr>
          <w:rFonts w:ascii="Times New Roman" w:eastAsia="Times New Roman" w:hAnsi="Times New Roman"/>
          <w:sz w:val="28"/>
        </w:rPr>
        <w:t xml:space="preserve"> ТС 025/2012 «О безопасности мебельной продукции»</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было  выявлено  68 нарушений,  из  них в  части маркировки - 67. За  выявленные  нарушения вынесено 94 постановления   о назначении административного наказания,  ответственность  за  которые  предусмотрена ст. 14.43 ч.1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В  ходе  проверок  было  отобрано   и  исследовано  53 пробы, в  том  числе  по  показателям:</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- 5 по  токсикологическим  и  токсиколого-гигиеническим показателям;</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- 32  по санитарно-гигиеническим  и  санитарно-химическим;</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- 16 по органолептическим;</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- 19  по  микробиологическим.</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 Все  исследованные  пробы  соответствовали  нормативам.</w:t>
      </w: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pStyle w:val="1"/>
        <w:ind w:firstLine="993"/>
        <w:jc w:val="both"/>
        <w:rPr>
          <w:b w:val="0"/>
          <w:sz w:val="28"/>
          <w:szCs w:val="28"/>
        </w:rPr>
      </w:pPr>
      <w:r>
        <w:rPr>
          <w:b w:val="0"/>
          <w:sz w:val="28"/>
        </w:rPr>
        <w:t>В отчетном году на  основании  поступивших обращений, информаций из Федеральной налоговой  службы Российской  Федерации и  материалов из  органов  прокуратуры по совместным с Управлением  проверкам, Управлением проводились  проверки и административные  расследования по соблюдению хозяйствующими субъектами, реализующими изделия  из  натурального  меха, требований,  установленных   Постановлением  Правительства Российской Федерации от 11.08.2016 № 787</w:t>
      </w:r>
      <w:r>
        <w:rPr>
          <w:b w:val="0"/>
        </w:rPr>
        <w:t xml:space="preserve"> </w:t>
      </w:r>
      <w:r>
        <w:rPr>
          <w:b w:val="0"/>
          <w:sz w:val="28"/>
          <w:szCs w:val="28"/>
        </w:rPr>
        <w:t xml:space="preserve">"О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По  результатам этих  мероприятий  у 6 хозяйствующих  субъектов выявлено  185 изделий  из  натурального  меха на общую  сумму 3 214 тыс. рублей  с  нарушением требований,  указанного  Постановления. Составлено 6 протоколов об административной  ответственности  по ч.2 ст. 15.12 </w:t>
      </w:r>
      <w:proofErr w:type="spellStart"/>
      <w:r>
        <w:rPr>
          <w:b w:val="0"/>
          <w:sz w:val="28"/>
          <w:szCs w:val="28"/>
        </w:rPr>
        <w:t>КоАП</w:t>
      </w:r>
      <w:proofErr w:type="spellEnd"/>
      <w:r>
        <w:rPr>
          <w:b w:val="0"/>
          <w:sz w:val="28"/>
          <w:szCs w:val="28"/>
        </w:rPr>
        <w:t xml:space="preserve"> РФ,  которые  направлены  для  рассмотрения  в  суд.  На  отчетную  дату  судом  рассмотрено 4 материала.  По 2-м  судом  вынесено  предупреждение</w:t>
      </w:r>
      <w:r>
        <w:t xml:space="preserve"> </w:t>
      </w:r>
      <w:r>
        <w:rPr>
          <w:b w:val="0"/>
          <w:sz w:val="28"/>
          <w:szCs w:val="28"/>
        </w:rPr>
        <w:t xml:space="preserve">с применением ст. 3.4 и 4.1.1 </w:t>
      </w:r>
      <w:proofErr w:type="spellStart"/>
      <w:r>
        <w:rPr>
          <w:b w:val="0"/>
          <w:sz w:val="28"/>
          <w:szCs w:val="28"/>
        </w:rPr>
        <w:t>КоАП</w:t>
      </w:r>
      <w:proofErr w:type="spellEnd"/>
      <w:r>
        <w:rPr>
          <w:b w:val="0"/>
          <w:sz w:val="28"/>
          <w:szCs w:val="28"/>
        </w:rPr>
        <w:t xml:space="preserve"> РФ; по другим  2-м  материалом,  вынесено  решение  о  назначении  административного  штрафа на  общую  сумму 10 тысяч рублей с конфискацией продукции (516 изделий).</w:t>
      </w:r>
    </w:p>
    <w:p w:rsidR="00233D3F" w:rsidRDefault="00233D3F" w:rsidP="00233D3F">
      <w:pPr>
        <w:spacing w:after="0" w:line="240" w:lineRule="auto"/>
        <w:ind w:firstLine="1134"/>
        <w:jc w:val="both"/>
        <w:rPr>
          <w:rFonts w:ascii="Times New Roman" w:eastAsia="Times New Roman" w:hAnsi="Times New Roman"/>
          <w:i/>
          <w:sz w:val="28"/>
        </w:rPr>
      </w:pPr>
    </w:p>
    <w:p w:rsidR="00233D3F" w:rsidRDefault="00233D3F" w:rsidP="00233D3F">
      <w:pPr>
        <w:spacing w:after="0" w:line="240" w:lineRule="auto"/>
        <w:rPr>
          <w:rFonts w:ascii="TimesNewRomanPSMT" w:eastAsia="TimesNewRomanPSMT" w:hAnsi="TimesNewRomanPSMT" w:cs="TimesNewRomanPSMT"/>
          <w:i/>
        </w:rPr>
      </w:pP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200" w:line="276" w:lineRule="auto"/>
        <w:jc w:val="center"/>
        <w:rPr>
          <w:rFonts w:eastAsia="Calibri" w:cs="Calibri"/>
          <w:b/>
          <w:sz w:val="28"/>
        </w:rPr>
      </w:pPr>
      <w:r>
        <w:rPr>
          <w:rFonts w:eastAsia="Calibri" w:cs="Calibri"/>
          <w:b/>
          <w:sz w:val="28"/>
        </w:rPr>
        <w:t>Структура проверок на  потребительском рынке</w:t>
      </w:r>
      <w:proofErr w:type="gramStart"/>
      <w:r>
        <w:rPr>
          <w:rFonts w:eastAsia="Calibri" w:cs="Calibri"/>
          <w:b/>
          <w:sz w:val="28"/>
        </w:rPr>
        <w:t xml:space="preserve"> (%).</w:t>
      </w:r>
      <w:proofErr w:type="gramEnd"/>
    </w:p>
    <w:p w:rsidR="00233D3F" w:rsidRDefault="00233D3F" w:rsidP="00233D3F">
      <w:pPr>
        <w:spacing w:after="200" w:line="276" w:lineRule="auto"/>
        <w:jc w:val="center"/>
        <w:rPr>
          <w:rFonts w:eastAsia="Calibri" w:cs="Calibri"/>
          <w:b/>
          <w:sz w:val="28"/>
        </w:rPr>
      </w:pPr>
      <w:r>
        <w:rPr>
          <w:rFonts w:eastAsia="Calibri" w:cs="Calibri"/>
          <w:b/>
          <w:noProof/>
          <w:sz w:val="28"/>
          <w:lang w:eastAsia="ru-RU"/>
        </w:rPr>
        <w:lastRenderedPageBreak/>
        <w:drawing>
          <wp:inline distT="0" distB="0" distL="0" distR="0">
            <wp:extent cx="4972050" cy="2305050"/>
            <wp:effectExtent l="19050" t="0" r="0" b="0"/>
            <wp:docPr id="8"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2" cstate="print"/>
                    <a:srcRect/>
                    <a:stretch>
                      <a:fillRect/>
                    </a:stretch>
                  </pic:blipFill>
                  <pic:spPr bwMode="auto">
                    <a:xfrm>
                      <a:off x="0" y="0"/>
                      <a:ext cx="4972050" cy="2305050"/>
                    </a:xfrm>
                    <a:prstGeom prst="rect">
                      <a:avLst/>
                    </a:prstGeom>
                    <a:noFill/>
                    <a:ln w="9525">
                      <a:noFill/>
                      <a:miter lim="800000"/>
                      <a:headEnd/>
                      <a:tailEnd/>
                    </a:ln>
                  </pic:spPr>
                </pic:pic>
              </a:graphicData>
            </a:graphic>
          </wp:inline>
        </w:drawing>
      </w:r>
    </w:p>
    <w:p w:rsidR="00233D3F" w:rsidRDefault="00233D3F" w:rsidP="00233D3F">
      <w:pPr>
        <w:spacing w:after="200" w:line="276" w:lineRule="auto"/>
        <w:jc w:val="center"/>
        <w:rPr>
          <w:rFonts w:eastAsia="Calibri" w:cs="Calibri"/>
          <w:b/>
          <w:sz w:val="28"/>
        </w:rPr>
      </w:pPr>
    </w:p>
    <w:p w:rsidR="00233D3F" w:rsidRDefault="00233D3F" w:rsidP="00233D3F">
      <w:pPr>
        <w:spacing w:after="0" w:line="240" w:lineRule="auto"/>
        <w:ind w:firstLine="1077"/>
        <w:jc w:val="both"/>
        <w:rPr>
          <w:rFonts w:ascii="Times New Roman" w:eastAsia="Times New Roman" w:hAnsi="Times New Roman"/>
          <w:sz w:val="28"/>
        </w:rPr>
      </w:pPr>
      <w:r>
        <w:rPr>
          <w:rFonts w:ascii="Times New Roman" w:eastAsia="Times New Roman" w:hAnsi="Times New Roman"/>
          <w:sz w:val="28"/>
        </w:rPr>
        <w:t>Доля  контрольно-надзорных мероприятий (проверки  и  административные  расследования)  в  сфере  розничной  торговли, как  и  в  прошлые  годы, больше,  чем  в  сфере  услуг.  В 2017 году  их  соотношение  в  общем  объеме  данных  мероприятий   сложилось  следующим образом:</w:t>
      </w:r>
    </w:p>
    <w:p w:rsidR="00233D3F" w:rsidRDefault="00233D3F" w:rsidP="00233D3F">
      <w:pPr>
        <w:spacing w:after="0" w:line="240" w:lineRule="auto"/>
        <w:ind w:firstLine="1077"/>
        <w:jc w:val="both"/>
        <w:rPr>
          <w:rFonts w:ascii="Times New Roman" w:eastAsia="Times New Roman" w:hAnsi="Times New Roman"/>
          <w:sz w:val="28"/>
        </w:rPr>
      </w:pPr>
      <w:r>
        <w:rPr>
          <w:rFonts w:ascii="Times New Roman" w:eastAsia="Times New Roman" w:hAnsi="Times New Roman"/>
          <w:sz w:val="28"/>
        </w:rPr>
        <w:t>- в сфере  розничной  торговли – 85%;</w:t>
      </w:r>
    </w:p>
    <w:p w:rsidR="00233D3F" w:rsidRDefault="00233D3F" w:rsidP="00233D3F">
      <w:pPr>
        <w:spacing w:after="0" w:line="240" w:lineRule="auto"/>
        <w:ind w:firstLine="1077"/>
        <w:jc w:val="both"/>
        <w:rPr>
          <w:rFonts w:ascii="Times New Roman" w:eastAsia="Times New Roman" w:hAnsi="Times New Roman"/>
          <w:sz w:val="28"/>
        </w:rPr>
      </w:pPr>
      <w:r>
        <w:rPr>
          <w:rFonts w:ascii="Times New Roman" w:eastAsia="Times New Roman" w:hAnsi="Times New Roman"/>
          <w:sz w:val="28"/>
        </w:rPr>
        <w:t>- в сфере  услуг – 15%.</w:t>
      </w:r>
    </w:p>
    <w:p w:rsidR="00233D3F" w:rsidRDefault="00233D3F" w:rsidP="00233D3F">
      <w:pPr>
        <w:spacing w:after="0" w:line="240" w:lineRule="auto"/>
        <w:ind w:firstLine="1077"/>
        <w:jc w:val="both"/>
        <w:rPr>
          <w:rFonts w:ascii="Times New Roman" w:eastAsia="Times New Roman" w:hAnsi="Times New Roman"/>
          <w:sz w:val="28"/>
        </w:rPr>
      </w:pPr>
    </w:p>
    <w:p w:rsidR="00233D3F" w:rsidRDefault="00233D3F" w:rsidP="00233D3F">
      <w:pPr>
        <w:spacing w:after="0" w:line="240" w:lineRule="auto"/>
        <w:jc w:val="center"/>
        <w:rPr>
          <w:rFonts w:ascii="Times New Roman" w:eastAsia="Times New Roman" w:hAnsi="Times New Roman"/>
          <w:b/>
          <w:sz w:val="28"/>
        </w:rPr>
      </w:pPr>
      <w:r>
        <w:rPr>
          <w:rFonts w:ascii="Times New Roman" w:eastAsia="Times New Roman" w:hAnsi="Times New Roman"/>
          <w:b/>
          <w:sz w:val="28"/>
        </w:rPr>
        <w:t>Структура  административных  мер</w:t>
      </w:r>
    </w:p>
    <w:p w:rsidR="003F021A" w:rsidRDefault="003F021A" w:rsidP="00233D3F">
      <w:pPr>
        <w:spacing w:after="0" w:line="240" w:lineRule="auto"/>
        <w:jc w:val="center"/>
        <w:rPr>
          <w:rFonts w:ascii="Times New Roman" w:eastAsia="Times New Roman" w:hAnsi="Times New Roman"/>
          <w:b/>
          <w:sz w:val="28"/>
        </w:rPr>
      </w:pPr>
    </w:p>
    <w:p w:rsidR="00233D3F" w:rsidRDefault="00233D3F" w:rsidP="00233D3F">
      <w:pPr>
        <w:autoSpaceDE w:val="0"/>
        <w:autoSpaceDN w:val="0"/>
        <w:adjustRightInd w:val="0"/>
        <w:jc w:val="center"/>
        <w:rPr>
          <w:b/>
          <w:i/>
          <w:sz w:val="28"/>
          <w:szCs w:val="28"/>
        </w:rPr>
      </w:pPr>
      <w:r>
        <w:rPr>
          <w:b/>
          <w:i/>
          <w:noProof/>
          <w:sz w:val="28"/>
          <w:szCs w:val="28"/>
          <w:lang w:eastAsia="ru-RU"/>
        </w:rPr>
        <w:drawing>
          <wp:inline distT="0" distB="0" distL="0" distR="0">
            <wp:extent cx="5429250" cy="3048000"/>
            <wp:effectExtent l="19050" t="0" r="0" b="0"/>
            <wp:docPr id="9"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3" cstate="print"/>
                    <a:srcRect/>
                    <a:stretch>
                      <a:fillRect/>
                    </a:stretch>
                  </pic:blipFill>
                  <pic:spPr bwMode="auto">
                    <a:xfrm>
                      <a:off x="0" y="0"/>
                      <a:ext cx="5429250" cy="3048000"/>
                    </a:xfrm>
                    <a:prstGeom prst="rect">
                      <a:avLst/>
                    </a:prstGeom>
                    <a:noFill/>
                    <a:ln w="9525">
                      <a:noFill/>
                      <a:miter lim="800000"/>
                      <a:headEnd/>
                      <a:tailEnd/>
                    </a:ln>
                  </pic:spPr>
                </pic:pic>
              </a:graphicData>
            </a:graphic>
          </wp:inline>
        </w:drawing>
      </w:r>
    </w:p>
    <w:p w:rsidR="00233D3F" w:rsidRDefault="00233D3F" w:rsidP="00233D3F">
      <w:pPr>
        <w:autoSpaceDE w:val="0"/>
        <w:autoSpaceDN w:val="0"/>
        <w:adjustRightInd w:val="0"/>
        <w:ind w:firstLine="993"/>
        <w:jc w:val="both"/>
        <w:rPr>
          <w:sz w:val="28"/>
          <w:szCs w:val="28"/>
        </w:rPr>
      </w:pP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По  результатам  контрольно-надзорных  мероприятий  в  отчетном  году  вынесено  604 (в 2016году - 588) постановления о  назначении  административного  наказания,  что больше показателя  прошлого  года  на  2,7%.  В  связи  с  изменениями, внесенными  Федеральным  Законом от 03.07.2016г. № 316-ФЗ в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изменилась  структура    мер  административного  наказания:</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количество  административных  штрафов  снизилось на 17%, а их  сумма  в 1,7 раза;</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lastRenderedPageBreak/>
        <w:t>- количество  предупреждений   увеличилось в 2,7 раза.</w:t>
      </w:r>
    </w:p>
    <w:p w:rsidR="00233D3F" w:rsidRDefault="00233D3F" w:rsidP="00233D3F">
      <w:pPr>
        <w:spacing w:after="0" w:line="240" w:lineRule="auto"/>
        <w:ind w:firstLine="1134"/>
        <w:jc w:val="both"/>
        <w:rPr>
          <w:rFonts w:ascii="Times New Roman" w:eastAsia="Times New Roman" w:hAnsi="Times New Roman"/>
          <w:i/>
          <w:sz w:val="28"/>
        </w:rPr>
      </w:pPr>
    </w:p>
    <w:p w:rsidR="00233D3F" w:rsidRDefault="00233D3F" w:rsidP="00233D3F">
      <w:pPr>
        <w:spacing w:after="0" w:line="240" w:lineRule="auto"/>
        <w:ind w:firstLine="1134"/>
        <w:jc w:val="both"/>
        <w:rPr>
          <w:rFonts w:ascii="Times New Roman" w:eastAsia="Times New Roman" w:hAnsi="Times New Roman"/>
          <w:i/>
          <w:sz w:val="28"/>
        </w:rPr>
      </w:pPr>
      <w:r>
        <w:rPr>
          <w:rFonts w:ascii="Times New Roman" w:eastAsia="Times New Roman" w:hAnsi="Times New Roman"/>
          <w:b/>
          <w:sz w:val="28"/>
        </w:rPr>
        <w:t>Структура  административных  правонарушений(%)</w:t>
      </w:r>
      <w:r>
        <w:rPr>
          <w:rFonts w:ascii="Times New Roman" w:eastAsia="Times New Roman" w:hAnsi="Times New Roman"/>
          <w:i/>
          <w:sz w:val="28"/>
        </w:rPr>
        <w:t xml:space="preserve">.  </w:t>
      </w:r>
    </w:p>
    <w:p w:rsidR="00233D3F" w:rsidRDefault="00233D3F" w:rsidP="00233D3F">
      <w:pPr>
        <w:spacing w:after="0" w:line="240" w:lineRule="auto"/>
        <w:ind w:firstLine="1134"/>
        <w:jc w:val="both"/>
        <w:rPr>
          <w:rFonts w:ascii="Times New Roman" w:eastAsia="Times New Roman" w:hAnsi="Times New Roman"/>
          <w:i/>
          <w:sz w:val="28"/>
        </w:rPr>
      </w:pPr>
    </w:p>
    <w:p w:rsidR="00233D3F" w:rsidRDefault="00233D3F" w:rsidP="00233D3F">
      <w:pPr>
        <w:spacing w:after="0" w:line="240" w:lineRule="auto"/>
        <w:jc w:val="both"/>
        <w:rPr>
          <w:rFonts w:ascii="Times New Roman" w:eastAsia="Times New Roman" w:hAnsi="Times New Roman"/>
          <w:i/>
          <w:sz w:val="28"/>
        </w:rPr>
      </w:pPr>
      <w:r>
        <w:rPr>
          <w:rFonts w:ascii="Times New Roman" w:eastAsia="Times New Roman" w:hAnsi="Times New Roman"/>
          <w:i/>
          <w:noProof/>
          <w:sz w:val="28"/>
          <w:lang w:eastAsia="ru-RU"/>
        </w:rPr>
        <w:drawing>
          <wp:inline distT="0" distB="0" distL="0" distR="0">
            <wp:extent cx="5419725" cy="3009900"/>
            <wp:effectExtent l="19050" t="0" r="9525" b="0"/>
            <wp:docPr id="10"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4" cstate="print"/>
                    <a:srcRect b="-81"/>
                    <a:stretch>
                      <a:fillRect/>
                    </a:stretch>
                  </pic:blipFill>
                  <pic:spPr bwMode="auto">
                    <a:xfrm>
                      <a:off x="0" y="0"/>
                      <a:ext cx="5419725" cy="3009900"/>
                    </a:xfrm>
                    <a:prstGeom prst="rect">
                      <a:avLst/>
                    </a:prstGeom>
                    <a:noFill/>
                    <a:ln w="9525">
                      <a:noFill/>
                      <a:miter lim="800000"/>
                      <a:headEnd/>
                      <a:tailEnd/>
                    </a:ln>
                  </pic:spPr>
                </pic:pic>
              </a:graphicData>
            </a:graphic>
          </wp:inline>
        </w:drawing>
      </w:r>
    </w:p>
    <w:p w:rsidR="00233D3F" w:rsidRDefault="00233D3F" w:rsidP="00233D3F">
      <w:pPr>
        <w:spacing w:after="0" w:line="240" w:lineRule="auto"/>
        <w:jc w:val="both"/>
        <w:rPr>
          <w:rFonts w:ascii="Times New Roman" w:eastAsia="Times New Roman" w:hAnsi="Times New Roman"/>
          <w:i/>
          <w:sz w:val="28"/>
        </w:rPr>
      </w:pP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Основная доля принятых административных мер в 2017 году, как и в предыдущие годы, была связана с несоблюдением требований правил продажи отдельных видов товаров, квалифицируемым по статье 14.15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(всего на их долю в 2017году  пришлось  19%  постановлений, в 2016 - 22%). </w:t>
      </w:r>
      <w:proofErr w:type="gramStart"/>
      <w:r>
        <w:rPr>
          <w:rFonts w:ascii="Times New Roman" w:eastAsia="Times New Roman" w:hAnsi="Times New Roman"/>
          <w:sz w:val="28"/>
        </w:rPr>
        <w:t>И  связанным  с  несоблюдением  требований  технических  регламентов.</w:t>
      </w:r>
      <w:proofErr w:type="gramEnd"/>
      <w:r>
        <w:rPr>
          <w:rFonts w:ascii="Times New Roman" w:eastAsia="Times New Roman" w:hAnsi="Times New Roman"/>
          <w:sz w:val="28"/>
        </w:rPr>
        <w:t xml:space="preserve"> На  их  долю в 2017году  пришлось  16%  постановлений, в 2016 - 19%.</w:t>
      </w:r>
    </w:p>
    <w:p w:rsidR="00233D3F" w:rsidRDefault="00233D3F" w:rsidP="00233D3F">
      <w:pPr>
        <w:spacing w:after="0" w:line="240" w:lineRule="auto"/>
        <w:ind w:firstLine="1134"/>
        <w:jc w:val="both"/>
        <w:rPr>
          <w:rFonts w:ascii="Times New Roman" w:eastAsia="Times New Roman" w:hAnsi="Times New Roman"/>
          <w:sz w:val="28"/>
        </w:rPr>
      </w:pPr>
    </w:p>
    <w:p w:rsidR="00233D3F" w:rsidRDefault="00233D3F" w:rsidP="00233D3F">
      <w:pPr>
        <w:spacing w:after="200" w:line="276" w:lineRule="auto"/>
        <w:jc w:val="center"/>
        <w:rPr>
          <w:rFonts w:eastAsia="Calibri" w:cs="Calibri"/>
          <w:b/>
          <w:i/>
          <w:sz w:val="28"/>
        </w:rPr>
      </w:pPr>
      <w:r>
        <w:rPr>
          <w:rFonts w:eastAsia="Calibri" w:cs="Calibri"/>
          <w:b/>
          <w:i/>
          <w:sz w:val="28"/>
        </w:rPr>
        <w:t>Соотношение выявленных  нарушений  в сфере  услуг и розничной торговли</w:t>
      </w:r>
      <w:proofErr w:type="gramStart"/>
      <w:r>
        <w:rPr>
          <w:rFonts w:eastAsia="Calibri" w:cs="Calibri"/>
          <w:b/>
          <w:i/>
          <w:sz w:val="28"/>
        </w:rPr>
        <w:t xml:space="preserve"> (%)</w:t>
      </w:r>
      <w:proofErr w:type="gramEnd"/>
    </w:p>
    <w:p w:rsidR="00233D3F" w:rsidRDefault="00233D3F" w:rsidP="00233D3F">
      <w:pPr>
        <w:spacing w:after="200" w:line="276" w:lineRule="auto"/>
        <w:jc w:val="center"/>
        <w:rPr>
          <w:rFonts w:eastAsia="Calibri" w:cs="Calibri"/>
          <w:b/>
          <w:i/>
          <w:sz w:val="28"/>
        </w:rPr>
      </w:pPr>
      <w:r>
        <w:rPr>
          <w:noProof/>
          <w:lang w:eastAsia="ru-RU"/>
        </w:rPr>
        <w:drawing>
          <wp:inline distT="0" distB="0" distL="0" distR="0">
            <wp:extent cx="5610225" cy="2971800"/>
            <wp:effectExtent l="19050" t="0" r="9525"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3D3F" w:rsidRDefault="00233D3F" w:rsidP="00233D3F">
      <w:pPr>
        <w:spacing w:after="200" w:line="276" w:lineRule="auto"/>
        <w:jc w:val="center"/>
        <w:rPr>
          <w:rFonts w:eastAsia="Calibri" w:cs="Calibri"/>
          <w:b/>
          <w:i/>
          <w:sz w:val="28"/>
        </w:rPr>
      </w:pPr>
    </w:p>
    <w:p w:rsidR="00233D3F" w:rsidRDefault="00233D3F" w:rsidP="00233D3F">
      <w:pPr>
        <w:spacing w:after="0" w:line="240" w:lineRule="auto"/>
        <w:ind w:firstLine="1134"/>
        <w:jc w:val="both"/>
        <w:rPr>
          <w:rFonts w:ascii="Times New Roman" w:eastAsia="Times New Roman" w:hAnsi="Times New Roman"/>
          <w:i/>
          <w:sz w:val="28"/>
        </w:rPr>
      </w:pPr>
      <w:r>
        <w:rPr>
          <w:rFonts w:ascii="Times New Roman" w:eastAsia="Times New Roman" w:hAnsi="Times New Roman"/>
          <w:sz w:val="28"/>
        </w:rPr>
        <w:lastRenderedPageBreak/>
        <w:t>Основная доля правонарушений  нарушений  остаётся на высоком уровне  при  исполнении  договоров  розничной  купли – продажи.  Их  доля  составила  91%  от  всех  выявленных  в  2017году  нарушений.</w:t>
      </w:r>
      <w:r>
        <w:rPr>
          <w:rFonts w:ascii="Times New Roman" w:eastAsia="Times New Roman" w:hAnsi="Times New Roman"/>
          <w:i/>
          <w:sz w:val="28"/>
        </w:rPr>
        <w:t xml:space="preserve">  </w:t>
      </w:r>
    </w:p>
    <w:p w:rsidR="00233D3F" w:rsidRDefault="00233D3F" w:rsidP="00233D3F">
      <w:pPr>
        <w:spacing w:after="0" w:line="240" w:lineRule="auto"/>
        <w:ind w:firstLine="1134"/>
        <w:jc w:val="both"/>
        <w:rPr>
          <w:rFonts w:eastAsia="Calibri" w:cs="Calibri"/>
          <w:b/>
          <w:sz w:val="28"/>
        </w:rPr>
      </w:pPr>
      <w:proofErr w:type="gramStart"/>
      <w:r>
        <w:rPr>
          <w:rFonts w:ascii="Times New Roman" w:eastAsia="Times New Roman" w:hAnsi="Times New Roman"/>
          <w:sz w:val="28"/>
        </w:rPr>
        <w:t xml:space="preserve">Основными  нарушениями  в  сфере  розничной  торговли  остаются правонарушения,  ответственность  за  которые  предусмотрена  ст. 14.15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(их  доля   от  всех  нарушений,  выявленных  в    сфере  розничной  торговли,  составила 16%,  однако  это  меньше,  чем  в  2016 году.</w:t>
      </w:r>
      <w:proofErr w:type="gramEnd"/>
      <w:r>
        <w:rPr>
          <w:rFonts w:ascii="Times New Roman" w:eastAsia="Times New Roman" w:hAnsi="Times New Roman"/>
          <w:sz w:val="28"/>
        </w:rPr>
        <w:t xml:space="preserve"> В  предыдущем периоде  доля  таких  нарушений  составляла 25%. Данное  снижение  является  положительным  показателем,  т.к. это  свидетельствует о перераспределении  долей  за  счет    увеличения  доли  вынесенных  постановлений  о правонарушениях,  ответственность  за  которые  предусмотрена специальной  статьёй  14.43 ч.1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Количество постановлений по </w:t>
      </w:r>
      <w:proofErr w:type="gramStart"/>
      <w:r>
        <w:rPr>
          <w:rFonts w:ascii="Times New Roman" w:eastAsia="Times New Roman" w:hAnsi="Times New Roman"/>
          <w:sz w:val="28"/>
        </w:rPr>
        <w:t>ч</w:t>
      </w:r>
      <w:proofErr w:type="gramEnd"/>
      <w:r>
        <w:rPr>
          <w:rFonts w:ascii="Times New Roman" w:eastAsia="Times New Roman" w:hAnsi="Times New Roman"/>
          <w:sz w:val="28"/>
        </w:rPr>
        <w:t xml:space="preserve">. 1 ст. 14.43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  увеличилось  с 2 % в 2016 году  до 13%  в  2017 году.</w:t>
      </w:r>
      <w:r>
        <w:rPr>
          <w:rFonts w:eastAsia="Calibri" w:cs="Calibri"/>
          <w:b/>
          <w:sz w:val="28"/>
        </w:rPr>
        <w:t xml:space="preserve">  </w:t>
      </w:r>
    </w:p>
    <w:p w:rsidR="00233D3F" w:rsidRDefault="00233D3F" w:rsidP="00233D3F">
      <w:pPr>
        <w:spacing w:after="0" w:line="240" w:lineRule="auto"/>
        <w:ind w:firstLine="1134"/>
        <w:jc w:val="both"/>
        <w:rPr>
          <w:rFonts w:eastAsia="Calibri" w:cs="Calibri"/>
          <w:b/>
          <w:sz w:val="28"/>
        </w:rPr>
      </w:pPr>
    </w:p>
    <w:p w:rsidR="00233D3F" w:rsidRDefault="00233D3F" w:rsidP="00233D3F">
      <w:pPr>
        <w:spacing w:after="0" w:line="240" w:lineRule="auto"/>
        <w:ind w:firstLine="1134"/>
        <w:jc w:val="both"/>
        <w:rPr>
          <w:rFonts w:ascii="Times New Roman" w:eastAsia="Times New Roman" w:hAnsi="Times New Roman"/>
          <w:b/>
          <w:sz w:val="28"/>
        </w:rPr>
      </w:pPr>
      <w:r>
        <w:rPr>
          <w:rFonts w:ascii="Times New Roman" w:eastAsia="Times New Roman" w:hAnsi="Times New Roman"/>
          <w:b/>
          <w:sz w:val="28"/>
        </w:rPr>
        <w:t>Доля   проверок  и  административных  расследований в  отдельных  секторах  услуг,  по  результатам  которых  были  выявлены  нарушения</w:t>
      </w:r>
      <w:proofErr w:type="gramStart"/>
      <w:r>
        <w:rPr>
          <w:rFonts w:ascii="Times New Roman" w:eastAsia="Times New Roman" w:hAnsi="Times New Roman"/>
          <w:b/>
          <w:sz w:val="28"/>
        </w:rPr>
        <w:t xml:space="preserve"> (%).</w:t>
      </w:r>
      <w:proofErr w:type="gramEnd"/>
    </w:p>
    <w:p w:rsidR="00233D3F" w:rsidRDefault="00233D3F" w:rsidP="00233D3F">
      <w:pPr>
        <w:spacing w:after="200" w:line="276" w:lineRule="auto"/>
        <w:jc w:val="center"/>
        <w:rPr>
          <w:rFonts w:eastAsia="Calibri" w:cs="Calibri"/>
          <w:b/>
          <w:i/>
          <w:sz w:val="28"/>
        </w:rPr>
      </w:pPr>
      <w:r>
        <w:rPr>
          <w:noProof/>
          <w:lang w:eastAsia="ru-RU"/>
        </w:rPr>
        <w:drawing>
          <wp:inline distT="0" distB="0" distL="0" distR="0">
            <wp:extent cx="6162675" cy="41529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3D3F" w:rsidRDefault="00233D3F" w:rsidP="00233D3F">
      <w:pPr>
        <w:spacing w:after="200" w:line="276" w:lineRule="auto"/>
        <w:jc w:val="center"/>
        <w:rPr>
          <w:rFonts w:eastAsia="Calibri" w:cs="Calibri"/>
          <w:b/>
          <w:i/>
          <w:sz w:val="28"/>
        </w:rPr>
      </w:pPr>
    </w:p>
    <w:p w:rsidR="00233D3F" w:rsidRDefault="00233D3F" w:rsidP="00233D3F">
      <w:pPr>
        <w:spacing w:after="200" w:line="276" w:lineRule="auto"/>
        <w:ind w:firstLine="993"/>
        <w:jc w:val="both"/>
        <w:rPr>
          <w:rFonts w:ascii="Times New Roman" w:eastAsia="Times New Roman" w:hAnsi="Times New Roman"/>
          <w:sz w:val="28"/>
        </w:rPr>
      </w:pPr>
      <w:r>
        <w:rPr>
          <w:rFonts w:ascii="Times New Roman" w:eastAsia="Times New Roman" w:hAnsi="Times New Roman"/>
          <w:sz w:val="28"/>
        </w:rPr>
        <w:t xml:space="preserve">За  отчетный  период  в  сфере  услуг  было  проведено  68 контрольно-надзорных  мероприятия.  </w:t>
      </w:r>
      <w:proofErr w:type="gramStart"/>
      <w:r>
        <w:rPr>
          <w:rFonts w:ascii="Times New Roman" w:eastAsia="Times New Roman" w:hAnsi="Times New Roman"/>
          <w:sz w:val="28"/>
        </w:rPr>
        <w:t xml:space="preserve">Чаще  всего  нарушения  выявлялись  при  проверках  и  административных  расследованиях,  проводимых  в  сферах оказания  транспортных  услуг (100% мероприятий,  по результатам  которых  были  выявлены  нарушения),   медицинских услуг (92% мероприятий,  по результатам  которых  были  выявлены  нарушения) и  жилищно-коммунальных  услуг (58% мероприятий,  по результатам  которых  были  выявлены  нарушения).  </w:t>
      </w:r>
      <w:proofErr w:type="gramEnd"/>
    </w:p>
    <w:p w:rsidR="00233D3F" w:rsidRDefault="00233D3F" w:rsidP="00233D3F">
      <w:pPr>
        <w:spacing w:after="200" w:line="276" w:lineRule="auto"/>
        <w:ind w:firstLine="993"/>
        <w:jc w:val="both"/>
        <w:rPr>
          <w:rFonts w:ascii="Times New Roman" w:eastAsia="Times New Roman" w:hAnsi="Times New Roman"/>
          <w:sz w:val="28"/>
        </w:rPr>
      </w:pPr>
      <w:r>
        <w:rPr>
          <w:rFonts w:ascii="Times New Roman" w:eastAsia="Times New Roman" w:hAnsi="Times New Roman"/>
          <w:sz w:val="28"/>
        </w:rPr>
        <w:lastRenderedPageBreak/>
        <w:t xml:space="preserve"> Основными  нарушениями  в  сфере  услуг,  выявленными  в  ходе  контрольно-надзорных  мероприятий,  в  отчетном  году  были:</w:t>
      </w:r>
    </w:p>
    <w:p w:rsidR="00233D3F" w:rsidRDefault="00233D3F" w:rsidP="00233D3F">
      <w:pPr>
        <w:spacing w:after="200" w:line="276" w:lineRule="auto"/>
        <w:ind w:firstLine="708"/>
        <w:jc w:val="both"/>
        <w:rPr>
          <w:rFonts w:ascii="Times New Roman" w:eastAsia="Times New Roman" w:hAnsi="Times New Roman"/>
          <w:sz w:val="28"/>
        </w:rPr>
      </w:pPr>
      <w:r>
        <w:rPr>
          <w:rFonts w:ascii="Times New Roman" w:eastAsia="Times New Roman" w:hAnsi="Times New Roman"/>
          <w:sz w:val="28"/>
        </w:rPr>
        <w:t>- нарушение  права  потребителей на  получение  своевременной, необходимой  информации  об  исполнителе  услуг  и  об  услуге,  которая  предусмотрена  ст. 8,9,10  Закона  «О  защите  прав  потребителей». Данные  нарушения  чаще  были  выявлены  в  сферах  оказания  медицинских   и  бытовых  услуг;</w:t>
      </w:r>
    </w:p>
    <w:p w:rsidR="00233D3F" w:rsidRDefault="00233D3F" w:rsidP="00233D3F">
      <w:pPr>
        <w:spacing w:after="200" w:line="276" w:lineRule="auto"/>
        <w:ind w:firstLine="708"/>
        <w:jc w:val="both"/>
        <w:rPr>
          <w:rFonts w:ascii="Times New Roman" w:eastAsia="Times New Roman" w:hAnsi="Times New Roman"/>
          <w:sz w:val="28"/>
        </w:rPr>
      </w:pPr>
      <w:r>
        <w:rPr>
          <w:rFonts w:ascii="Times New Roman" w:eastAsia="Times New Roman" w:hAnsi="Times New Roman"/>
          <w:sz w:val="28"/>
        </w:rPr>
        <w:t>-  выполнение  работ, оказание  услуг, не  соответствующих  требованиям нормативных  актов, устанавливающих  порядок (правила) выполнения  работ, оказания  услуг.  Данные  нарушения  чаще  были  выявлены  в  сфере  оказания  жилищно-коммунальных  услуг;</w:t>
      </w:r>
    </w:p>
    <w:p w:rsidR="00233D3F" w:rsidRDefault="00233D3F" w:rsidP="00233D3F">
      <w:pPr>
        <w:spacing w:after="200" w:line="276" w:lineRule="auto"/>
        <w:ind w:firstLine="708"/>
        <w:jc w:val="both"/>
        <w:rPr>
          <w:rFonts w:ascii="Times New Roman" w:eastAsia="Times New Roman" w:hAnsi="Times New Roman"/>
          <w:sz w:val="28"/>
        </w:rPr>
      </w:pPr>
      <w:r>
        <w:rPr>
          <w:rFonts w:ascii="Times New Roman" w:eastAsia="Times New Roman" w:hAnsi="Times New Roman"/>
          <w:sz w:val="28"/>
        </w:rPr>
        <w:t>- нарушение  права потребителей  на  получение  информации  об  исполнителе  услуг,  предусмотренной  ст. 9  Закона о  защите  прав  потребителей. Данные  нарушения  чаще  были  выявлены  в  сфере  оказания  услуг  общественного  питания и бытовых  услуг;</w:t>
      </w:r>
    </w:p>
    <w:p w:rsidR="00233D3F" w:rsidRDefault="00233D3F" w:rsidP="00233D3F">
      <w:pPr>
        <w:spacing w:after="200" w:line="276" w:lineRule="auto"/>
        <w:ind w:firstLine="708"/>
        <w:jc w:val="both"/>
        <w:rPr>
          <w:rFonts w:ascii="Times New Roman" w:eastAsia="Times New Roman" w:hAnsi="Times New Roman"/>
          <w:b/>
          <w:sz w:val="28"/>
        </w:rPr>
      </w:pPr>
      <w:r>
        <w:rPr>
          <w:rFonts w:ascii="Times New Roman" w:eastAsia="Times New Roman" w:hAnsi="Times New Roman"/>
          <w:sz w:val="28"/>
        </w:rPr>
        <w:t xml:space="preserve">- включение  в  договоры  об  оказании  услуг   условий,  ущемляющих  права  потребителей. Данное  нарушение  было  выявлено  в  сферах  оказания  финансовых, транспортных, </w:t>
      </w:r>
      <w:r>
        <w:rPr>
          <w:rFonts w:ascii="Times New Roman" w:eastAsia="Times New Roman" w:hAnsi="Times New Roman"/>
          <w:b/>
          <w:sz w:val="28"/>
        </w:rPr>
        <w:t xml:space="preserve"> </w:t>
      </w:r>
      <w:r>
        <w:rPr>
          <w:rFonts w:ascii="Times New Roman" w:eastAsia="Times New Roman" w:hAnsi="Times New Roman"/>
          <w:sz w:val="28"/>
        </w:rPr>
        <w:t>жилищно-коммунальных  и образовательных  услуг</w:t>
      </w:r>
      <w:r>
        <w:rPr>
          <w:rFonts w:ascii="Times New Roman" w:eastAsia="Times New Roman" w:hAnsi="Times New Roman"/>
          <w:b/>
          <w:sz w:val="28"/>
        </w:rPr>
        <w:t>.</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xml:space="preserve">За  выявленные  в  сфере  услуг  административные  правонарушения  чаще  всего  применялись  следующие  статьи  </w:t>
      </w:r>
      <w:proofErr w:type="spellStart"/>
      <w:r>
        <w:rPr>
          <w:rFonts w:ascii="Times New Roman" w:eastAsia="Times New Roman" w:hAnsi="Times New Roman"/>
          <w:sz w:val="28"/>
        </w:rPr>
        <w:t>КоАП</w:t>
      </w:r>
      <w:proofErr w:type="spellEnd"/>
      <w:r>
        <w:rPr>
          <w:rFonts w:ascii="Times New Roman" w:eastAsia="Times New Roman" w:hAnsi="Times New Roman"/>
          <w:sz w:val="28"/>
        </w:rPr>
        <w:t xml:space="preserve"> РФ:</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ст. 14.8 ч.1 – 15 протокола;</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ст. 14.4 ч.1 – 6  протоколов;</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ст. 14.5 ч.1 – 6  протоколов;</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ст. 14.8 ч.2 – 5 протоколов.</w:t>
      </w:r>
    </w:p>
    <w:p w:rsidR="00233D3F" w:rsidRDefault="00233D3F" w:rsidP="00233D3F">
      <w:pPr>
        <w:spacing w:after="200" w:line="276" w:lineRule="auto"/>
        <w:ind w:firstLine="708"/>
        <w:jc w:val="both"/>
        <w:rPr>
          <w:rFonts w:ascii="Times New Roman" w:eastAsia="Times New Roman" w:hAnsi="Times New Roman"/>
          <w:sz w:val="28"/>
        </w:rPr>
      </w:pPr>
    </w:p>
    <w:p w:rsidR="00233D3F" w:rsidRDefault="00233D3F" w:rsidP="00233D3F">
      <w:pPr>
        <w:spacing w:after="200" w:line="276" w:lineRule="auto"/>
        <w:jc w:val="both"/>
        <w:rPr>
          <w:rFonts w:eastAsia="Calibri" w:cs="Calibri"/>
          <w:b/>
          <w:i/>
          <w:sz w:val="32"/>
        </w:rPr>
      </w:pPr>
      <w:r>
        <w:rPr>
          <w:rFonts w:eastAsia="Calibri" w:cs="Calibri"/>
          <w:b/>
          <w:i/>
          <w:sz w:val="32"/>
        </w:rPr>
        <w:t xml:space="preserve"> 2. Работа  с  обращениями   граждан.</w:t>
      </w:r>
    </w:p>
    <w:p w:rsidR="00233D3F" w:rsidRDefault="00233D3F" w:rsidP="00233D3F">
      <w:pPr>
        <w:spacing w:after="200" w:line="276" w:lineRule="auto"/>
        <w:jc w:val="both"/>
        <w:rPr>
          <w:rFonts w:eastAsia="Calibri" w:cs="Calibri"/>
          <w:b/>
          <w:i/>
          <w:sz w:val="32"/>
        </w:rPr>
      </w:pPr>
      <w:r>
        <w:rPr>
          <w:noProof/>
          <w:lang w:eastAsia="ru-RU"/>
        </w:rPr>
        <w:drawing>
          <wp:inline distT="0" distB="0" distL="0" distR="0">
            <wp:extent cx="5200650" cy="2895600"/>
            <wp:effectExtent l="19050" t="0" r="1905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3D3F" w:rsidRDefault="00233D3F" w:rsidP="00233D3F">
      <w:pPr>
        <w:spacing w:after="0" w:line="240" w:lineRule="auto"/>
        <w:ind w:firstLine="720"/>
        <w:jc w:val="both"/>
        <w:rPr>
          <w:rFonts w:ascii="Times New Roman" w:eastAsia="Times New Roman" w:hAnsi="Times New Roman"/>
          <w:sz w:val="28"/>
        </w:rPr>
      </w:pPr>
      <w:r>
        <w:rPr>
          <w:rFonts w:ascii="Times New Roman" w:eastAsia="Times New Roman" w:hAnsi="Times New Roman"/>
          <w:sz w:val="28"/>
        </w:rPr>
        <w:lastRenderedPageBreak/>
        <w:t xml:space="preserve">  В  отчетном  периоде,  как  и  в  предыдущие  годы,  граждане  обращались  чаще  по  вопросам  в  сфере  защиты  прав  потребителей. Доля  таких  обращений  составила 62%,  что   соответствует  уровню  прошлых  лет. </w:t>
      </w:r>
    </w:p>
    <w:p w:rsidR="00233D3F" w:rsidRDefault="00233D3F" w:rsidP="00233D3F">
      <w:pPr>
        <w:spacing w:after="0" w:line="240" w:lineRule="auto"/>
        <w:ind w:firstLine="720"/>
        <w:jc w:val="both"/>
        <w:rPr>
          <w:rFonts w:ascii="Times New Roman" w:eastAsia="Times New Roman" w:hAnsi="Times New Roman"/>
          <w:sz w:val="28"/>
        </w:rPr>
      </w:pPr>
    </w:p>
    <w:p w:rsidR="00233D3F" w:rsidRDefault="00233D3F" w:rsidP="00233D3F">
      <w:pPr>
        <w:spacing w:after="0" w:line="240" w:lineRule="auto"/>
        <w:ind w:firstLine="720"/>
        <w:jc w:val="both"/>
        <w:rPr>
          <w:rFonts w:ascii="Times New Roman" w:eastAsia="Times New Roman" w:hAnsi="Times New Roman"/>
          <w:i/>
          <w:sz w:val="28"/>
        </w:rPr>
      </w:pPr>
      <w:r>
        <w:rPr>
          <w:noProof/>
          <w:lang w:eastAsia="ru-RU"/>
        </w:rPr>
        <w:drawing>
          <wp:inline distT="0" distB="0" distL="0" distR="0">
            <wp:extent cx="5562600" cy="401002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3D3F" w:rsidRDefault="00233D3F" w:rsidP="00233D3F">
      <w:pPr>
        <w:spacing w:after="0" w:line="240" w:lineRule="auto"/>
        <w:jc w:val="both"/>
        <w:rPr>
          <w:rFonts w:ascii="Times New Roman" w:eastAsia="Times New Roman" w:hAnsi="Times New Roman"/>
          <w:i/>
          <w:sz w:val="28"/>
        </w:rPr>
      </w:pPr>
    </w:p>
    <w:p w:rsidR="00233D3F" w:rsidRDefault="00233D3F" w:rsidP="00233D3F">
      <w:pPr>
        <w:spacing w:after="0" w:line="240" w:lineRule="auto"/>
        <w:ind w:firstLine="720"/>
        <w:jc w:val="both"/>
        <w:rPr>
          <w:rFonts w:ascii="Times New Roman" w:hAnsi="Times New Roman"/>
          <w:sz w:val="28"/>
          <w:szCs w:val="28"/>
        </w:rPr>
      </w:pPr>
      <w:r>
        <w:rPr>
          <w:rFonts w:ascii="Times New Roman" w:eastAsia="Times New Roman" w:hAnsi="Times New Roman"/>
          <w:sz w:val="28"/>
        </w:rPr>
        <w:t xml:space="preserve">В 2017 году  в  Управление Роспотребнадзора  по  Псковской  области     поступило    2436  обращений,  что больше  на  3%    уровня  2016  года.   </w:t>
      </w:r>
      <w:proofErr w:type="gramStart"/>
      <w:r>
        <w:rPr>
          <w:rFonts w:ascii="Times New Roman" w:hAnsi="Times New Roman"/>
          <w:sz w:val="28"/>
          <w:szCs w:val="28"/>
        </w:rPr>
        <w:t>В общем объеме всех полученных в 2017 г. обращений по вопросам, связанным с защитой прав потребителей, доля обращений, поступивших непосредственно от граждан (2422), составила 99,0 %, что соответствует уровню предыдущих лет (в 2016 г. доля данных обращений составляла 99,7 %, в 2015 г. – 99,0 %; в 2014 г. – 99,0 %</w:t>
      </w:r>
      <w:r>
        <w:rPr>
          <w:rFonts w:ascii="Times New Roman" w:hAnsi="Times New Roman"/>
          <w:i/>
          <w:sz w:val="28"/>
          <w:szCs w:val="28"/>
        </w:rPr>
        <w:t>)</w:t>
      </w:r>
      <w:r>
        <w:rPr>
          <w:rFonts w:ascii="Times New Roman" w:hAnsi="Times New Roman"/>
          <w:sz w:val="28"/>
          <w:szCs w:val="28"/>
        </w:rPr>
        <w:t>, из которых 1770  устное  и  666  письменных обращений.</w:t>
      </w:r>
      <w:proofErr w:type="gramEnd"/>
    </w:p>
    <w:p w:rsidR="00233D3F" w:rsidRDefault="00233D3F" w:rsidP="00233D3F">
      <w:pPr>
        <w:spacing w:after="0" w:line="240" w:lineRule="auto"/>
        <w:ind w:firstLine="720"/>
        <w:jc w:val="both"/>
        <w:rPr>
          <w:rFonts w:ascii="Times New Roman" w:hAnsi="Times New Roman"/>
          <w:sz w:val="28"/>
          <w:szCs w:val="28"/>
        </w:rPr>
      </w:pPr>
      <w:r>
        <w:rPr>
          <w:rFonts w:ascii="Times New Roman" w:hAnsi="Times New Roman"/>
          <w:sz w:val="28"/>
          <w:szCs w:val="28"/>
        </w:rPr>
        <w:t xml:space="preserve">Продолжилась тенденция к увеличению поступления обращений от органов государственной власти и местного самоуправления. Число таких обращений составило в 2017 г. 14 единиц, что больше в 2,3 раза по сравнению с 2016 г. (6 единиц). </w:t>
      </w:r>
    </w:p>
    <w:p w:rsidR="00233D3F" w:rsidRDefault="00233D3F" w:rsidP="00233D3F">
      <w:pPr>
        <w:spacing w:after="0" w:line="240" w:lineRule="auto"/>
        <w:ind w:firstLine="720"/>
        <w:jc w:val="both"/>
        <w:rPr>
          <w:rFonts w:ascii="Times New Roman" w:eastAsia="Times New Roman" w:hAnsi="Times New Roman"/>
          <w:sz w:val="28"/>
        </w:rPr>
      </w:pPr>
    </w:p>
    <w:p w:rsidR="00233D3F" w:rsidRDefault="00233D3F" w:rsidP="00233D3F">
      <w:pPr>
        <w:spacing w:after="0" w:line="240" w:lineRule="auto"/>
        <w:ind w:firstLine="720"/>
        <w:jc w:val="center"/>
        <w:rPr>
          <w:rFonts w:ascii="Times New Roman" w:eastAsia="Times New Roman" w:hAnsi="Times New Roman"/>
          <w:b/>
          <w:sz w:val="28"/>
        </w:rPr>
      </w:pPr>
      <w:r>
        <w:rPr>
          <w:rFonts w:ascii="Times New Roman" w:eastAsia="Times New Roman" w:hAnsi="Times New Roman"/>
          <w:b/>
          <w:sz w:val="28"/>
        </w:rPr>
        <w:t>Соотношение  обращений</w:t>
      </w:r>
      <w:proofErr w:type="gramStart"/>
      <w:r>
        <w:rPr>
          <w:rFonts w:ascii="Times New Roman" w:eastAsia="Times New Roman" w:hAnsi="Times New Roman"/>
          <w:b/>
          <w:sz w:val="28"/>
        </w:rPr>
        <w:t xml:space="preserve"> (%).</w:t>
      </w:r>
      <w:proofErr w:type="gramEnd"/>
    </w:p>
    <w:p w:rsidR="00233D3F" w:rsidRDefault="00233D3F" w:rsidP="00233D3F">
      <w:pPr>
        <w:spacing w:after="200" w:line="276" w:lineRule="auto"/>
        <w:jc w:val="center"/>
        <w:rPr>
          <w:rFonts w:eastAsia="Calibri" w:cs="Calibri"/>
          <w:b/>
          <w:i/>
          <w:sz w:val="28"/>
        </w:rPr>
      </w:pPr>
      <w:r>
        <w:rPr>
          <w:noProof/>
          <w:lang w:eastAsia="ru-RU"/>
        </w:rPr>
        <w:drawing>
          <wp:inline distT="0" distB="0" distL="0" distR="0">
            <wp:extent cx="4371975" cy="2181225"/>
            <wp:effectExtent l="19050" t="0" r="9525"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3D3F" w:rsidRDefault="00233D3F" w:rsidP="00233D3F">
      <w:pPr>
        <w:spacing w:after="200" w:line="276" w:lineRule="auto"/>
        <w:ind w:firstLine="720"/>
        <w:jc w:val="both"/>
        <w:rPr>
          <w:rFonts w:ascii="Times New Roman" w:eastAsia="Times New Roman" w:hAnsi="Times New Roman"/>
          <w:sz w:val="28"/>
        </w:rPr>
      </w:pPr>
      <w:r>
        <w:rPr>
          <w:rFonts w:ascii="Times New Roman" w:hAnsi="Times New Roman"/>
          <w:sz w:val="28"/>
          <w:szCs w:val="28"/>
        </w:rPr>
        <w:lastRenderedPageBreak/>
        <w:t xml:space="preserve">В течение последних пяти лет среди общего количества поступающих обращений стабильно превалируют жалобы на нарушения прав потребителей </w:t>
      </w:r>
      <w:r>
        <w:rPr>
          <w:rFonts w:ascii="Times New Roman" w:eastAsia="Times New Roman" w:hAnsi="Times New Roman"/>
          <w:sz w:val="28"/>
        </w:rPr>
        <w:t xml:space="preserve">при  исполнении  договоров  розничной  купли – продажи – 1711  обращений.  Их  доля составляет  70%  от  общего  количества  обращений.   По  вопросам   в  сфере  услуг  в  2017году  обратилось 725 человек,  доля  таких  обращений  соответственно  составила  30%. </w:t>
      </w:r>
    </w:p>
    <w:p w:rsidR="00233D3F" w:rsidRDefault="00233D3F" w:rsidP="00233D3F">
      <w:pPr>
        <w:spacing w:after="200" w:line="276" w:lineRule="auto"/>
        <w:ind w:firstLine="720"/>
        <w:jc w:val="both"/>
        <w:rPr>
          <w:rFonts w:ascii="Times New Roman" w:eastAsia="Times New Roman" w:hAnsi="Times New Roman"/>
          <w:sz w:val="28"/>
        </w:rPr>
      </w:pPr>
    </w:p>
    <w:p w:rsidR="00233D3F" w:rsidRDefault="00233D3F" w:rsidP="00233D3F">
      <w:pPr>
        <w:spacing w:after="200" w:line="276" w:lineRule="auto"/>
        <w:jc w:val="both"/>
        <w:rPr>
          <w:rFonts w:ascii="Times New Roman" w:eastAsia="Times New Roman" w:hAnsi="Times New Roman"/>
          <w:sz w:val="28"/>
        </w:rPr>
      </w:pPr>
      <w:r>
        <w:rPr>
          <w:noProof/>
          <w:lang w:eastAsia="ru-RU"/>
        </w:rPr>
        <w:drawing>
          <wp:inline distT="0" distB="0" distL="0" distR="0">
            <wp:extent cx="5029200" cy="3324225"/>
            <wp:effectExtent l="19050" t="0" r="1905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3D3F" w:rsidRDefault="00233D3F" w:rsidP="00233D3F">
      <w:pPr>
        <w:spacing w:after="200" w:line="276" w:lineRule="auto"/>
        <w:ind w:firstLine="720"/>
        <w:jc w:val="both"/>
        <w:rPr>
          <w:rFonts w:ascii="Times New Roman" w:eastAsia="Times New Roman" w:hAnsi="Times New Roman"/>
          <w:sz w:val="28"/>
        </w:rPr>
      </w:pPr>
      <w:r>
        <w:rPr>
          <w:rFonts w:ascii="Times New Roman" w:eastAsia="Times New Roman" w:hAnsi="Times New Roman"/>
          <w:sz w:val="28"/>
        </w:rPr>
        <w:t xml:space="preserve">В  структуре  жалоб  потребителей, касающихся розничной  купли – продажи  товаров 84% обращений   было связано с обстоятельствами приобретения  либо  использования  непродовольственной  группы  товаров.  </w:t>
      </w:r>
    </w:p>
    <w:p w:rsidR="00233D3F" w:rsidRDefault="00233D3F" w:rsidP="00233D3F">
      <w:pPr>
        <w:spacing w:after="200" w:line="276" w:lineRule="auto"/>
        <w:jc w:val="center"/>
        <w:rPr>
          <w:rFonts w:ascii="Times New Roman" w:eastAsia="Times New Roman" w:hAnsi="Times New Roman"/>
          <w:b/>
          <w:sz w:val="28"/>
        </w:rPr>
      </w:pPr>
      <w:r>
        <w:rPr>
          <w:rFonts w:ascii="Times New Roman" w:eastAsia="Times New Roman" w:hAnsi="Times New Roman"/>
          <w:b/>
          <w:sz w:val="28"/>
        </w:rPr>
        <w:t>Структура  обращений  в  сфере  услуг</w:t>
      </w:r>
      <w:proofErr w:type="gramStart"/>
      <w:r>
        <w:rPr>
          <w:rFonts w:ascii="Times New Roman" w:eastAsia="Times New Roman" w:hAnsi="Times New Roman"/>
          <w:b/>
          <w:sz w:val="28"/>
        </w:rPr>
        <w:t xml:space="preserve"> (%).</w:t>
      </w:r>
      <w:proofErr w:type="gramEnd"/>
    </w:p>
    <w:p w:rsidR="00233D3F" w:rsidRDefault="00233D3F" w:rsidP="002B5E93">
      <w:pPr>
        <w:spacing w:after="200" w:line="276" w:lineRule="auto"/>
        <w:jc w:val="both"/>
        <w:rPr>
          <w:rFonts w:eastAsia="Calibri" w:cs="Calibri"/>
          <w:b/>
          <w:i/>
          <w:sz w:val="28"/>
        </w:rPr>
      </w:pPr>
      <w:r>
        <w:rPr>
          <w:noProof/>
          <w:lang w:eastAsia="ru-RU"/>
        </w:rPr>
        <w:drawing>
          <wp:inline distT="0" distB="0" distL="0" distR="0">
            <wp:extent cx="5743575" cy="3162300"/>
            <wp:effectExtent l="19050" t="0" r="9525"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3D3F" w:rsidRDefault="00233D3F" w:rsidP="00233D3F">
      <w:pPr>
        <w:spacing w:after="200" w:line="276" w:lineRule="auto"/>
        <w:ind w:firstLine="720"/>
        <w:jc w:val="both"/>
        <w:rPr>
          <w:rFonts w:ascii="Times New Roman" w:eastAsia="Times New Roman" w:hAnsi="Times New Roman"/>
          <w:sz w:val="28"/>
        </w:rPr>
      </w:pPr>
      <w:r>
        <w:rPr>
          <w:rFonts w:ascii="Times New Roman" w:eastAsia="Times New Roman" w:hAnsi="Times New Roman"/>
          <w:sz w:val="28"/>
        </w:rPr>
        <w:lastRenderedPageBreak/>
        <w:t xml:space="preserve">При  анализе,  поступивших  в  период  с  2013 года  по  2017 год  обращений  на  нарушения  в  сфере  услуг,  установлено,  что  больше  всего  потребители  обращаются  по  вопросам  защиты  прав  потребителей  на  нарушения  в  сфере  оказания  бытовых, жилищно-коммунальных,  услуг  связи  и финансовых  услуг. </w:t>
      </w:r>
    </w:p>
    <w:p w:rsidR="00233D3F" w:rsidRDefault="00233D3F" w:rsidP="00233D3F">
      <w:pPr>
        <w:spacing w:after="200" w:line="276" w:lineRule="auto"/>
        <w:jc w:val="both"/>
        <w:rPr>
          <w:rFonts w:ascii="Times New Roman" w:eastAsia="Times New Roman" w:hAnsi="Times New Roman"/>
          <w:sz w:val="28"/>
        </w:rPr>
      </w:pPr>
      <w:r>
        <w:rPr>
          <w:noProof/>
          <w:lang w:eastAsia="ru-RU"/>
        </w:rPr>
        <w:drawing>
          <wp:inline distT="0" distB="0" distL="0" distR="0">
            <wp:extent cx="4914900" cy="2876550"/>
            <wp:effectExtent l="19050" t="0" r="1905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3D3F" w:rsidRDefault="00233D3F" w:rsidP="00233D3F">
      <w:pPr>
        <w:spacing w:after="200" w:line="276" w:lineRule="auto"/>
        <w:ind w:firstLine="720"/>
        <w:jc w:val="both"/>
        <w:rPr>
          <w:rFonts w:ascii="Times New Roman" w:eastAsia="Times New Roman" w:hAnsi="Times New Roman"/>
          <w:sz w:val="28"/>
        </w:rPr>
      </w:pPr>
      <w:r>
        <w:rPr>
          <w:rFonts w:ascii="Times New Roman" w:eastAsia="Times New Roman" w:hAnsi="Times New Roman"/>
          <w:sz w:val="28"/>
        </w:rPr>
        <w:t xml:space="preserve"> В  2017 году  их  удельные  веса  составили:  на  нарушения  в  сфере оказания  бытовых  услуг 26%, жилищно-коммунальных – 17%,  услуг  связи – 11%  и  финансовых  услуг – 9%  . </w:t>
      </w:r>
    </w:p>
    <w:p w:rsidR="00233D3F" w:rsidRPr="00A83B2E" w:rsidRDefault="00233D3F" w:rsidP="00B43A16">
      <w:pPr>
        <w:spacing w:after="0" w:line="240" w:lineRule="auto"/>
        <w:ind w:firstLine="1080"/>
        <w:jc w:val="both"/>
        <w:rPr>
          <w:rFonts w:ascii="Times New Roman" w:eastAsia="Times New Roman" w:hAnsi="Times New Roman"/>
          <w:sz w:val="28"/>
        </w:rPr>
      </w:pPr>
      <w:r w:rsidRPr="00A83B2E">
        <w:rPr>
          <w:rFonts w:ascii="Times New Roman" w:eastAsia="Times New Roman" w:hAnsi="Times New Roman"/>
          <w:sz w:val="28"/>
        </w:rPr>
        <w:t>Основные   жалобы:</w:t>
      </w:r>
    </w:p>
    <w:p w:rsidR="00233D3F" w:rsidRPr="00A83B2E" w:rsidRDefault="00233D3F" w:rsidP="00B43A16">
      <w:pPr>
        <w:spacing w:after="0" w:line="240" w:lineRule="auto"/>
        <w:ind w:firstLine="1080"/>
        <w:jc w:val="both"/>
        <w:rPr>
          <w:rFonts w:ascii="Times New Roman" w:eastAsia="Times New Roman" w:hAnsi="Times New Roman"/>
          <w:sz w:val="28"/>
        </w:rPr>
      </w:pPr>
      <w:r w:rsidRPr="00A83B2E">
        <w:rPr>
          <w:rFonts w:ascii="Times New Roman" w:eastAsia="Times New Roman" w:hAnsi="Times New Roman"/>
          <w:sz w:val="28"/>
        </w:rPr>
        <w:t xml:space="preserve">- </w:t>
      </w:r>
      <w:r w:rsidRPr="00A83B2E">
        <w:rPr>
          <w:rFonts w:ascii="Times New Roman" w:eastAsia="Times New Roman" w:hAnsi="Times New Roman"/>
          <w:b/>
          <w:sz w:val="28"/>
        </w:rPr>
        <w:t>в  сфере  оказания  бытовых  услуг:</w:t>
      </w:r>
    </w:p>
    <w:p w:rsidR="00233D3F" w:rsidRPr="00A83B2E" w:rsidRDefault="00233D3F" w:rsidP="00B43A16">
      <w:pPr>
        <w:numPr>
          <w:ilvl w:val="0"/>
          <w:numId w:val="3"/>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на нарушение  срока  исполнения  договора;</w:t>
      </w:r>
    </w:p>
    <w:p w:rsidR="00233D3F" w:rsidRPr="00A83B2E" w:rsidRDefault="00233D3F" w:rsidP="00B43A16">
      <w:pPr>
        <w:numPr>
          <w:ilvl w:val="0"/>
          <w:numId w:val="3"/>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на ненадлежащее  качество  услуги;</w:t>
      </w:r>
    </w:p>
    <w:p w:rsidR="00233D3F" w:rsidRPr="00A83B2E" w:rsidRDefault="00233D3F" w:rsidP="00B43A16">
      <w:pPr>
        <w:numPr>
          <w:ilvl w:val="0"/>
          <w:numId w:val="3"/>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на  отказ  безвозмездно  устранить  недостатки  выполненной  работы (оказанной  услуги).</w:t>
      </w:r>
    </w:p>
    <w:p w:rsidR="00233D3F" w:rsidRPr="00A83B2E" w:rsidRDefault="00233D3F" w:rsidP="00B43A16">
      <w:pPr>
        <w:spacing w:after="0" w:line="240" w:lineRule="auto"/>
        <w:ind w:left="1276" w:hanging="283"/>
        <w:jc w:val="both"/>
        <w:rPr>
          <w:rFonts w:ascii="Times New Roman" w:eastAsia="Times New Roman" w:hAnsi="Times New Roman"/>
          <w:sz w:val="28"/>
        </w:rPr>
      </w:pPr>
      <w:r w:rsidRPr="00A83B2E">
        <w:rPr>
          <w:rFonts w:ascii="Times New Roman" w:eastAsia="Times New Roman" w:hAnsi="Times New Roman"/>
          <w:sz w:val="28"/>
        </w:rPr>
        <w:t xml:space="preserve">- </w:t>
      </w:r>
      <w:r w:rsidRPr="00A83B2E">
        <w:rPr>
          <w:rFonts w:ascii="Times New Roman" w:eastAsia="Times New Roman" w:hAnsi="Times New Roman"/>
          <w:b/>
          <w:sz w:val="28"/>
        </w:rPr>
        <w:t>в  сфере  оказания  финансовых  услуг</w:t>
      </w:r>
      <w:r w:rsidRPr="00A83B2E">
        <w:rPr>
          <w:rFonts w:ascii="Times New Roman" w:eastAsia="Times New Roman" w:hAnsi="Times New Roman"/>
          <w:sz w:val="28"/>
        </w:rPr>
        <w:t xml:space="preserve">:  </w:t>
      </w:r>
    </w:p>
    <w:p w:rsidR="00233D3F" w:rsidRPr="00A83B2E" w:rsidRDefault="00233D3F" w:rsidP="00B43A16">
      <w:pPr>
        <w:numPr>
          <w:ilvl w:val="0"/>
          <w:numId w:val="4"/>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излишне  начисленные  штрафы  (проценты)  за  несвоевременное  погашение  долга;</w:t>
      </w:r>
    </w:p>
    <w:p w:rsidR="00233D3F" w:rsidRPr="00A83B2E" w:rsidRDefault="00233D3F" w:rsidP="00B43A16">
      <w:pPr>
        <w:numPr>
          <w:ilvl w:val="0"/>
          <w:numId w:val="4"/>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несогласие  с  размером  списанной  со  счета  суммы  в  счет  погашения  кредитной  задолженности;</w:t>
      </w:r>
    </w:p>
    <w:p w:rsidR="00233D3F" w:rsidRPr="00A83B2E" w:rsidRDefault="00233D3F" w:rsidP="00B43A16">
      <w:pPr>
        <w:spacing w:after="0" w:line="240" w:lineRule="auto"/>
        <w:ind w:firstLine="1134"/>
        <w:jc w:val="both"/>
        <w:rPr>
          <w:rFonts w:ascii="Times New Roman" w:eastAsia="Times New Roman" w:hAnsi="Times New Roman"/>
          <w:b/>
          <w:sz w:val="28"/>
        </w:rPr>
      </w:pPr>
      <w:r w:rsidRPr="00A83B2E">
        <w:rPr>
          <w:rFonts w:ascii="Times New Roman" w:eastAsia="Times New Roman" w:hAnsi="Times New Roman"/>
          <w:sz w:val="28"/>
        </w:rPr>
        <w:t xml:space="preserve">- </w:t>
      </w:r>
      <w:r w:rsidRPr="00A83B2E">
        <w:rPr>
          <w:rFonts w:ascii="Times New Roman" w:eastAsia="Times New Roman" w:hAnsi="Times New Roman"/>
          <w:b/>
          <w:sz w:val="28"/>
        </w:rPr>
        <w:t>в  сфере  оказания  жилищно-коммунальных услуг:</w:t>
      </w:r>
    </w:p>
    <w:p w:rsidR="00233D3F" w:rsidRPr="00A83B2E" w:rsidRDefault="00233D3F" w:rsidP="00B43A16">
      <w:pPr>
        <w:numPr>
          <w:ilvl w:val="0"/>
          <w:numId w:val="5"/>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неправильное  начисление  платежей  и  слишком  высокие  тарифы  на  коммунальные  услуги,  </w:t>
      </w:r>
    </w:p>
    <w:p w:rsidR="00233D3F" w:rsidRPr="00A83B2E" w:rsidRDefault="00233D3F" w:rsidP="00B43A16">
      <w:pPr>
        <w:numPr>
          <w:ilvl w:val="0"/>
          <w:numId w:val="5"/>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ненадлежащее  качество  услуг  по  содержанию  и  ремонту  общего  имущества  многоквартирными  домами,</w:t>
      </w:r>
    </w:p>
    <w:p w:rsidR="00233D3F" w:rsidRPr="00A83B2E" w:rsidRDefault="00233D3F" w:rsidP="00B43A16">
      <w:pPr>
        <w:numPr>
          <w:ilvl w:val="0"/>
          <w:numId w:val="5"/>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ненадлежащее  качество  коммунальных  услуг.</w:t>
      </w:r>
    </w:p>
    <w:p w:rsidR="00233D3F" w:rsidRPr="00A83B2E" w:rsidRDefault="00233D3F" w:rsidP="00B43A16">
      <w:pPr>
        <w:spacing w:after="0" w:line="240" w:lineRule="auto"/>
        <w:ind w:firstLine="720"/>
        <w:jc w:val="both"/>
        <w:rPr>
          <w:rFonts w:ascii="Times New Roman" w:eastAsia="Times New Roman" w:hAnsi="Times New Roman"/>
          <w:b/>
          <w:sz w:val="28"/>
        </w:rPr>
      </w:pPr>
      <w:r w:rsidRPr="00A83B2E">
        <w:rPr>
          <w:rFonts w:ascii="Times New Roman" w:eastAsia="Times New Roman" w:hAnsi="Times New Roman"/>
          <w:b/>
          <w:sz w:val="28"/>
        </w:rPr>
        <w:t xml:space="preserve">- в  сфере  оказания  услуг  связи:  </w:t>
      </w:r>
    </w:p>
    <w:p w:rsidR="00233D3F" w:rsidRPr="00A83B2E" w:rsidRDefault="00233D3F" w:rsidP="00B43A16">
      <w:pPr>
        <w:numPr>
          <w:ilvl w:val="0"/>
          <w:numId w:val="6"/>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ненадлежащее  качество  услуг  связи;</w:t>
      </w:r>
    </w:p>
    <w:p w:rsidR="00233D3F" w:rsidRPr="00A83B2E" w:rsidRDefault="00233D3F" w:rsidP="00B43A16">
      <w:pPr>
        <w:numPr>
          <w:ilvl w:val="0"/>
          <w:numId w:val="6"/>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необоснованное  взимание  платы  за  услуги  связи;</w:t>
      </w:r>
    </w:p>
    <w:p w:rsidR="00233D3F" w:rsidRPr="00A83B2E" w:rsidRDefault="00233D3F" w:rsidP="00B43A16">
      <w:pPr>
        <w:numPr>
          <w:ilvl w:val="0"/>
          <w:numId w:val="6"/>
        </w:numPr>
        <w:spacing w:after="0" w:line="240" w:lineRule="auto"/>
        <w:ind w:left="1418" w:hanging="142"/>
        <w:jc w:val="both"/>
        <w:rPr>
          <w:rFonts w:ascii="Times New Roman" w:eastAsia="Times New Roman" w:hAnsi="Times New Roman"/>
          <w:sz w:val="28"/>
        </w:rPr>
      </w:pPr>
      <w:r w:rsidRPr="00A83B2E">
        <w:rPr>
          <w:rFonts w:ascii="Times New Roman" w:eastAsia="Times New Roman" w:hAnsi="Times New Roman"/>
          <w:sz w:val="28"/>
        </w:rPr>
        <w:t xml:space="preserve"> подключение  к  дополнительным  платным  услугам  без  согласия  потребителей.</w:t>
      </w:r>
    </w:p>
    <w:p w:rsidR="00233D3F" w:rsidRDefault="00233D3F" w:rsidP="00233D3F">
      <w:pPr>
        <w:spacing w:after="200" w:line="276" w:lineRule="auto"/>
        <w:jc w:val="center"/>
        <w:rPr>
          <w:rFonts w:ascii="Times New Roman" w:hAnsi="Times New Roman"/>
          <w:b/>
          <w:sz w:val="28"/>
          <w:szCs w:val="28"/>
        </w:rPr>
      </w:pPr>
      <w:r>
        <w:rPr>
          <w:rFonts w:ascii="Times New Roman" w:hAnsi="Times New Roman"/>
          <w:b/>
          <w:sz w:val="28"/>
          <w:szCs w:val="28"/>
        </w:rPr>
        <w:lastRenderedPageBreak/>
        <w:t>Результаты рассмотрения обращений по вопросам защиты прав потребителей, %</w:t>
      </w:r>
    </w:p>
    <w:p w:rsidR="00233D3F" w:rsidRDefault="00233D3F" w:rsidP="000B60F6">
      <w:pPr>
        <w:spacing w:after="200" w:line="276" w:lineRule="auto"/>
        <w:jc w:val="both"/>
        <w:rPr>
          <w:rFonts w:ascii="Times New Roman" w:hAnsi="Times New Roman"/>
          <w:b/>
          <w:sz w:val="28"/>
          <w:szCs w:val="28"/>
        </w:rPr>
      </w:pPr>
      <w:r>
        <w:rPr>
          <w:noProof/>
          <w:lang w:eastAsia="ru-RU"/>
        </w:rPr>
        <w:drawing>
          <wp:inline distT="0" distB="0" distL="0" distR="0">
            <wp:extent cx="4991100" cy="3381375"/>
            <wp:effectExtent l="19050" t="0" r="1905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3D3F" w:rsidRDefault="00233D3F" w:rsidP="00233D3F">
      <w:pPr>
        <w:spacing w:after="200" w:line="276" w:lineRule="auto"/>
        <w:ind w:firstLine="993"/>
        <w:jc w:val="both"/>
        <w:rPr>
          <w:rFonts w:ascii="Times New Roman" w:eastAsia="Times New Roman" w:hAnsi="Times New Roman"/>
          <w:sz w:val="28"/>
        </w:rPr>
      </w:pPr>
      <w:r>
        <w:rPr>
          <w:rFonts w:ascii="Times New Roman" w:eastAsia="Times New Roman" w:hAnsi="Times New Roman"/>
          <w:sz w:val="28"/>
        </w:rPr>
        <w:t xml:space="preserve">В  отчетном  году только 67 письменных обращения  стали основанием для проведения контрольно-надзорных  мероприятий  или  10%  от  всех  письменных  обращений. В предыдущем  году основанием  для  проведения контрольно-надзорных  мероприятий  стали 32%  письменных  обращений. </w:t>
      </w:r>
    </w:p>
    <w:p w:rsidR="00233D3F" w:rsidRDefault="00233D3F" w:rsidP="00233D3F">
      <w:pPr>
        <w:spacing w:after="200" w:line="276" w:lineRule="auto"/>
        <w:jc w:val="center"/>
        <w:rPr>
          <w:rFonts w:eastAsia="Calibri" w:cs="Calibri"/>
          <w:b/>
          <w:i/>
          <w:sz w:val="28"/>
        </w:rPr>
      </w:pPr>
      <w:r>
        <w:rPr>
          <w:rFonts w:eastAsia="Calibri" w:cs="Calibri"/>
          <w:b/>
          <w:i/>
          <w:sz w:val="28"/>
        </w:rPr>
        <w:t>Принятые  меры  по  рассмотренным  обращениям (ед.)</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1280"/>
        <w:gridCol w:w="1418"/>
        <w:gridCol w:w="1275"/>
      </w:tblGrid>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Calibri" w:cs="Calibri"/>
                <w:sz w:val="28"/>
              </w:rPr>
            </w:pPr>
            <w:r>
              <w:rPr>
                <w:rFonts w:eastAsia="Calibri" w:cs="Calibri"/>
                <w:sz w:val="28"/>
              </w:rPr>
              <w:t>Наименование показателей</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ind w:left="-104" w:firstLine="104"/>
              <w:jc w:val="center"/>
              <w:rPr>
                <w:rFonts w:eastAsia="Calibri" w:cs="Calibri"/>
                <w:b/>
                <w:i/>
                <w:sz w:val="28"/>
              </w:rPr>
            </w:pPr>
            <w:r>
              <w:rPr>
                <w:rFonts w:eastAsia="Times New Roman"/>
                <w:color w:val="000000"/>
              </w:rPr>
              <w:t>Всего</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Calibri" w:cs="Calibri"/>
                <w:b/>
                <w:i/>
                <w:sz w:val="28"/>
              </w:rPr>
            </w:pPr>
            <w:r>
              <w:rPr>
                <w:rFonts w:eastAsia="Times New Roman"/>
                <w:color w:val="000000"/>
              </w:rPr>
              <w:t>в  сфере  услуг</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 xml:space="preserve">в  сфере  розничной  торговли  </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Calibri" w:cs="Calibri"/>
                <w:sz w:val="28"/>
              </w:rPr>
            </w:pPr>
            <w:r>
              <w:rPr>
                <w:rFonts w:eastAsia="Times New Roman"/>
                <w:color w:val="000000"/>
              </w:rPr>
              <w:t>Количество  обращений,  ставших  основанием  для  проверок  и  административных  расследований</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67</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16</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51</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Количество  контрольно-надзорных мероприятий, в ходе которых  подтвердились  факты  нарушений</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42</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10</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22</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количество  протоколов</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34</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10</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24</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Число заявлений или исков, поданных в суд по фактам нарушения, выявленных в результате рассмотрения обращения</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29</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6</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23</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Число материалов, направленных для возбуждения уголовных дел по фактам нарушения, выявленных в результате рассмотрения обращения</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0</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w:t>
            </w:r>
          </w:p>
        </w:tc>
      </w:tr>
      <w:tr w:rsidR="00233D3F" w:rsidTr="00233D3F">
        <w:tc>
          <w:tcPr>
            <w:tcW w:w="634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количество  предостережений</w:t>
            </w:r>
          </w:p>
        </w:tc>
        <w:tc>
          <w:tcPr>
            <w:tcW w:w="1280"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6</w:t>
            </w:r>
          </w:p>
        </w:tc>
        <w:tc>
          <w:tcPr>
            <w:tcW w:w="1418"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2</w:t>
            </w:r>
          </w:p>
        </w:tc>
        <w:tc>
          <w:tcPr>
            <w:tcW w:w="1275"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center"/>
              <w:rPr>
                <w:rFonts w:eastAsia="Times New Roman"/>
                <w:color w:val="000000"/>
              </w:rPr>
            </w:pPr>
            <w:r>
              <w:rPr>
                <w:rFonts w:eastAsia="Times New Roman"/>
                <w:color w:val="000000"/>
              </w:rPr>
              <w:t>4</w:t>
            </w:r>
          </w:p>
        </w:tc>
      </w:tr>
    </w:tbl>
    <w:p w:rsidR="00233D3F" w:rsidRDefault="00233D3F" w:rsidP="00233D3F">
      <w:pPr>
        <w:spacing w:after="200" w:line="276" w:lineRule="auto"/>
        <w:rPr>
          <w:rFonts w:eastAsia="Calibri" w:cs="Calibri"/>
          <w:b/>
          <w:i/>
          <w:sz w:val="28"/>
        </w:rPr>
      </w:pPr>
    </w:p>
    <w:p w:rsidR="00233D3F" w:rsidRDefault="00233D3F" w:rsidP="00233D3F">
      <w:pPr>
        <w:spacing w:after="200" w:line="276" w:lineRule="auto"/>
        <w:ind w:firstLine="993"/>
        <w:jc w:val="both"/>
        <w:rPr>
          <w:rFonts w:ascii="Times New Roman" w:eastAsia="Times New Roman" w:hAnsi="Times New Roman"/>
          <w:sz w:val="28"/>
        </w:rPr>
      </w:pPr>
      <w:r>
        <w:rPr>
          <w:rFonts w:ascii="Times New Roman" w:eastAsia="Times New Roman" w:hAnsi="Times New Roman"/>
          <w:sz w:val="28"/>
        </w:rPr>
        <w:lastRenderedPageBreak/>
        <w:t xml:space="preserve">Факты  нарушений  прав  потребителей,  указанные  в  обращениях, подтвердились  в 63%  случаях,  что  выше  прошлогоднего  показателя  на 9%. </w:t>
      </w:r>
    </w:p>
    <w:p w:rsidR="00233D3F" w:rsidRDefault="00233D3F" w:rsidP="00233D3F">
      <w:pPr>
        <w:spacing w:after="200" w:line="276" w:lineRule="auto"/>
        <w:ind w:firstLine="993"/>
        <w:jc w:val="both"/>
        <w:rPr>
          <w:rFonts w:ascii="Times New Roman" w:eastAsia="Times New Roman" w:hAnsi="Times New Roman"/>
          <w:i/>
          <w:sz w:val="28"/>
          <w:szCs w:val="28"/>
        </w:rPr>
      </w:pPr>
      <w:r>
        <w:rPr>
          <w:rFonts w:ascii="Times New Roman" w:eastAsia="Times New Roman" w:hAnsi="Times New Roman"/>
          <w:sz w:val="28"/>
        </w:rPr>
        <w:t xml:space="preserve">Принятыми  мерами  по результатам рассмотрения  обращений на  нарушения  прав  потребителей  в  сфере розничной  торговли  и  услуг  явились 34   возбужденных  дела  об  административных правонарушениях, 29  исков  </w:t>
      </w:r>
      <w:r>
        <w:rPr>
          <w:rFonts w:ascii="Times New Roman" w:eastAsia="Times New Roman" w:hAnsi="Times New Roman"/>
          <w:color w:val="000000"/>
          <w:sz w:val="28"/>
          <w:szCs w:val="28"/>
        </w:rPr>
        <w:t>в суд,  2 материала, направленных для возбуждения уголовных дел,   6 предостережений.</w:t>
      </w:r>
    </w:p>
    <w:p w:rsidR="00233D3F" w:rsidRDefault="00233D3F" w:rsidP="00233D3F">
      <w:pPr>
        <w:spacing w:after="200" w:line="276" w:lineRule="auto"/>
        <w:ind w:left="540"/>
        <w:jc w:val="both"/>
        <w:rPr>
          <w:rFonts w:ascii="Times New Roman" w:eastAsia="Times New Roman" w:hAnsi="Times New Roman"/>
          <w:i/>
          <w:sz w:val="28"/>
        </w:rPr>
      </w:pPr>
    </w:p>
    <w:p w:rsidR="00233D3F" w:rsidRDefault="00233D3F" w:rsidP="00233D3F">
      <w:pPr>
        <w:spacing w:after="200" w:line="276" w:lineRule="auto"/>
        <w:jc w:val="both"/>
        <w:rPr>
          <w:rFonts w:ascii="Times New Roman" w:eastAsia="Times New Roman" w:hAnsi="Times New Roman"/>
          <w:b/>
          <w:i/>
          <w:sz w:val="28"/>
        </w:rPr>
      </w:pPr>
      <w:r>
        <w:rPr>
          <w:rFonts w:ascii="Times New Roman" w:eastAsia="Times New Roman" w:hAnsi="Times New Roman"/>
          <w:b/>
          <w:i/>
          <w:sz w:val="28"/>
        </w:rPr>
        <w:t>3.  Информирование и консультирование  потребителей.</w:t>
      </w:r>
    </w:p>
    <w:p w:rsidR="00233D3F" w:rsidRDefault="00233D3F" w:rsidP="00233D3F">
      <w:pPr>
        <w:spacing w:after="200" w:line="276" w:lineRule="auto"/>
        <w:jc w:val="both"/>
        <w:rPr>
          <w:rFonts w:ascii="Times New Roman" w:eastAsia="Times New Roman" w:hAnsi="Times New Roman"/>
          <w:b/>
          <w:i/>
          <w:sz w:val="28"/>
        </w:rPr>
      </w:pPr>
      <w:r>
        <w:rPr>
          <w:rFonts w:ascii="Times New Roman" w:eastAsia="Times New Roman" w:hAnsi="Times New Roman"/>
          <w:b/>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1669"/>
        <w:gridCol w:w="1669"/>
      </w:tblGrid>
      <w:tr w:rsidR="00233D3F" w:rsidTr="00233D3F">
        <w:tc>
          <w:tcPr>
            <w:tcW w:w="6771"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b/>
                <w:i/>
                <w:sz w:val="28"/>
              </w:rPr>
            </w:pPr>
            <w:r>
              <w:rPr>
                <w:rFonts w:eastAsia="Calibri" w:cs="Calibri"/>
                <w:sz w:val="28"/>
              </w:rPr>
              <w:t>Наименование показателей</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2016 год</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2017 год</w:t>
            </w:r>
          </w:p>
        </w:tc>
      </w:tr>
      <w:tr w:rsidR="00233D3F" w:rsidTr="00233D3F">
        <w:tc>
          <w:tcPr>
            <w:tcW w:w="6771"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Calibri" w:hAnsi="Times New Roman"/>
                <w:sz w:val="28"/>
              </w:rPr>
            </w:pPr>
            <w:r>
              <w:rPr>
                <w:rFonts w:ascii="Times New Roman" w:eastAsia="Calibri" w:hAnsi="Times New Roman"/>
                <w:sz w:val="28"/>
              </w:rPr>
              <w:t>Количество консультаций, проведенных в рамках  работы  "горячей линии"  (ед.)</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1285</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1267</w:t>
            </w:r>
          </w:p>
        </w:tc>
      </w:tr>
      <w:tr w:rsidR="00233D3F" w:rsidTr="00233D3F">
        <w:tc>
          <w:tcPr>
            <w:tcW w:w="6771"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Calibri" w:hAnsi="Times New Roman"/>
                <w:sz w:val="28"/>
              </w:rPr>
            </w:pPr>
            <w:r>
              <w:rPr>
                <w:rFonts w:ascii="Times New Roman" w:eastAsia="Calibri" w:hAnsi="Times New Roman"/>
                <w:sz w:val="28"/>
              </w:rPr>
              <w:t>Количество выступлений в СМИ, в которых принято участие должностными лицами Управления (ед.) - всего</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182</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227</w:t>
            </w:r>
          </w:p>
        </w:tc>
      </w:tr>
      <w:tr w:rsidR="00233D3F" w:rsidTr="00233D3F">
        <w:tc>
          <w:tcPr>
            <w:tcW w:w="6771"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Calibri" w:hAnsi="Times New Roman"/>
                <w:sz w:val="28"/>
              </w:rPr>
            </w:pPr>
            <w:r>
              <w:rPr>
                <w:rFonts w:ascii="Times New Roman" w:eastAsia="Calibri" w:hAnsi="Times New Roman"/>
                <w:sz w:val="28"/>
              </w:rPr>
              <w:t>из  них,  в сети Интернет</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94</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141</w:t>
            </w:r>
          </w:p>
        </w:tc>
      </w:tr>
      <w:tr w:rsidR="00233D3F" w:rsidTr="00233D3F">
        <w:tc>
          <w:tcPr>
            <w:tcW w:w="6771"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Calibri" w:hAnsi="Times New Roman"/>
                <w:sz w:val="28"/>
              </w:rPr>
            </w:pPr>
            <w:r>
              <w:rPr>
                <w:rFonts w:ascii="Times New Roman" w:eastAsia="Calibri" w:hAnsi="Times New Roman"/>
                <w:sz w:val="28"/>
              </w:rPr>
              <w:t>в т.ч. на сайте Управления</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66</w:t>
            </w:r>
          </w:p>
        </w:tc>
        <w:tc>
          <w:tcPr>
            <w:tcW w:w="1669" w:type="dxa"/>
            <w:tcBorders>
              <w:top w:val="single" w:sz="4" w:space="0" w:color="auto"/>
              <w:left w:val="single" w:sz="4" w:space="0" w:color="auto"/>
              <w:bottom w:val="single" w:sz="4" w:space="0" w:color="auto"/>
              <w:right w:val="single" w:sz="4" w:space="0" w:color="auto"/>
            </w:tcBorders>
            <w:hideMark/>
          </w:tcPr>
          <w:p w:rsidR="00233D3F" w:rsidRDefault="00233D3F">
            <w:pPr>
              <w:spacing w:after="200" w:line="276" w:lineRule="auto"/>
              <w:jc w:val="both"/>
              <w:rPr>
                <w:rFonts w:ascii="Times New Roman" w:eastAsia="Times New Roman" w:hAnsi="Times New Roman"/>
                <w:sz w:val="28"/>
              </w:rPr>
            </w:pPr>
            <w:r>
              <w:rPr>
                <w:rFonts w:ascii="Times New Roman" w:eastAsia="Times New Roman" w:hAnsi="Times New Roman"/>
                <w:sz w:val="28"/>
              </w:rPr>
              <w:t>96</w:t>
            </w:r>
          </w:p>
        </w:tc>
      </w:tr>
    </w:tbl>
    <w:p w:rsidR="00233D3F" w:rsidRDefault="00233D3F" w:rsidP="00233D3F">
      <w:pPr>
        <w:spacing w:after="200" w:line="276" w:lineRule="auto"/>
        <w:jc w:val="both"/>
        <w:rPr>
          <w:rFonts w:ascii="Times New Roman" w:eastAsia="Times New Roman" w:hAnsi="Times New Roman"/>
          <w:b/>
          <w:i/>
          <w:sz w:val="28"/>
        </w:rPr>
      </w:pPr>
    </w:p>
    <w:p w:rsidR="00233D3F" w:rsidRDefault="00233D3F" w:rsidP="00233D3F">
      <w:pPr>
        <w:spacing w:after="200" w:line="276" w:lineRule="auto"/>
        <w:jc w:val="both"/>
        <w:rPr>
          <w:rFonts w:ascii="Times New Roman" w:eastAsia="Times New Roman" w:hAnsi="Times New Roman"/>
          <w:b/>
          <w:sz w:val="28"/>
        </w:rPr>
      </w:pPr>
      <w:r>
        <w:rPr>
          <w:rFonts w:ascii="Times New Roman" w:eastAsia="Times New Roman" w:hAnsi="Times New Roman"/>
          <w:b/>
          <w:i/>
          <w:sz w:val="28"/>
        </w:rPr>
        <w:t xml:space="preserve">           </w:t>
      </w:r>
      <w:r>
        <w:rPr>
          <w:rFonts w:ascii="Times New Roman" w:eastAsia="Times New Roman" w:hAnsi="Times New Roman"/>
          <w:sz w:val="28"/>
        </w:rPr>
        <w:t>Специалистами Управления постоянно проводится  работа по информированию и консультированию населения по вопросам  законодательства  о защите прав потребителей</w:t>
      </w:r>
      <w:r>
        <w:rPr>
          <w:rFonts w:ascii="Times New Roman" w:eastAsia="Times New Roman" w:hAnsi="Times New Roman"/>
          <w:b/>
          <w:sz w:val="28"/>
        </w:rPr>
        <w:t xml:space="preserve">. </w:t>
      </w:r>
    </w:p>
    <w:p w:rsidR="00233D3F" w:rsidRDefault="00233D3F" w:rsidP="00233D3F">
      <w:pPr>
        <w:spacing w:after="200" w:line="276" w:lineRule="auto"/>
        <w:ind w:firstLine="851"/>
        <w:jc w:val="both"/>
        <w:rPr>
          <w:rFonts w:ascii="Times New Roman" w:eastAsia="Times New Roman" w:hAnsi="Times New Roman"/>
          <w:sz w:val="28"/>
        </w:rPr>
      </w:pPr>
      <w:r>
        <w:rPr>
          <w:rFonts w:ascii="Times New Roman" w:eastAsia="Times New Roman" w:hAnsi="Times New Roman"/>
          <w:i/>
          <w:sz w:val="28"/>
        </w:rPr>
        <w:t xml:space="preserve"> </w:t>
      </w:r>
      <w:r>
        <w:rPr>
          <w:rFonts w:ascii="Times New Roman" w:eastAsia="Times New Roman" w:hAnsi="Times New Roman"/>
          <w:sz w:val="28"/>
        </w:rPr>
        <w:t xml:space="preserve">В досудебном порядке специалисты консультируют потребителей  при личных приемах, в рамках общественных приемных, по «горячей линии», через СМИ и Интернет, в т.ч. сайт Управления, дают разъяснения на письменные обращения потребителей, оказывают потребителям помощь в составлении претензий и исковых заявлений. </w:t>
      </w:r>
    </w:p>
    <w:p w:rsidR="00233D3F" w:rsidRDefault="00233D3F" w:rsidP="00233D3F">
      <w:pPr>
        <w:spacing w:after="0" w:line="276" w:lineRule="auto"/>
        <w:ind w:firstLine="708"/>
        <w:jc w:val="both"/>
        <w:rPr>
          <w:rFonts w:ascii="Times New Roman" w:eastAsia="Times New Roman" w:hAnsi="Times New Roman"/>
          <w:sz w:val="28"/>
        </w:rPr>
      </w:pPr>
      <w:r>
        <w:rPr>
          <w:rFonts w:ascii="Times New Roman" w:eastAsia="Times New Roman" w:hAnsi="Times New Roman"/>
          <w:i/>
          <w:sz w:val="28"/>
        </w:rPr>
        <w:t xml:space="preserve">  </w:t>
      </w:r>
      <w:r>
        <w:rPr>
          <w:rFonts w:ascii="Times New Roman" w:eastAsia="Times New Roman" w:hAnsi="Times New Roman"/>
          <w:sz w:val="28"/>
        </w:rPr>
        <w:t xml:space="preserve">В отчетном году в Управление по  телефону  на  «горячую  линию»  за консультацией по законодательству в сфере защиты прав потребителей  обратилось 1267 человек, что  соответствует прошлому  году; </w:t>
      </w:r>
      <w:proofErr w:type="gramStart"/>
      <w:r>
        <w:rPr>
          <w:rFonts w:ascii="Times New Roman" w:eastAsia="Times New Roman" w:hAnsi="Times New Roman"/>
          <w:sz w:val="28"/>
        </w:rPr>
        <w:t xml:space="preserve">в  различных   СМИ размещено 227 публикации, что  на 25% больше предыдущего года (в 2016году - 182), в  т.ч.  в сети  Интернет  размещено 141  публикации,  что  в  1,5  раза  больше  прошлого  года (94  публикации), из них на сайте  Управления  96   </w:t>
      </w:r>
      <w:r>
        <w:rPr>
          <w:rFonts w:ascii="Times New Roman" w:eastAsia="Times New Roman" w:hAnsi="Times New Roman"/>
          <w:sz w:val="28"/>
        </w:rPr>
        <w:lastRenderedPageBreak/>
        <w:t xml:space="preserve">публикаций,  что  так  же  больше  прошлогоднего  показателя  в  1,5  раза (66 публикации).  </w:t>
      </w:r>
      <w:proofErr w:type="gramEnd"/>
    </w:p>
    <w:p w:rsidR="00233D3F" w:rsidRDefault="00233D3F" w:rsidP="00233D3F">
      <w:pPr>
        <w:spacing w:after="240" w:line="240" w:lineRule="auto"/>
        <w:ind w:firstLine="1134"/>
        <w:jc w:val="both"/>
        <w:rPr>
          <w:rFonts w:ascii="Times New Roman" w:eastAsia="Times New Roman" w:hAnsi="Times New Roman"/>
          <w:sz w:val="28"/>
          <w:shd w:val="clear" w:color="auto" w:fill="FFFFFF"/>
        </w:rPr>
      </w:pPr>
      <w:r>
        <w:rPr>
          <w:rFonts w:ascii="Times New Roman" w:eastAsia="Times New Roman" w:hAnsi="Times New Roman"/>
          <w:color w:val="4F4F4F"/>
          <w:sz w:val="28"/>
          <w:shd w:val="clear" w:color="auto" w:fill="FFFFFF"/>
        </w:rPr>
        <w:t> </w:t>
      </w:r>
      <w:r>
        <w:rPr>
          <w:rFonts w:ascii="Times New Roman" w:eastAsia="Times New Roman" w:hAnsi="Times New Roman"/>
          <w:sz w:val="28"/>
          <w:shd w:val="clear" w:color="auto" w:fill="FFFFFF"/>
        </w:rPr>
        <w:t>С  2016года  открыта  и  функционирует общедоступная  подсистема «Государственный  информационный  ресу</w:t>
      </w:r>
      <w:proofErr w:type="gramStart"/>
      <w:r>
        <w:rPr>
          <w:rFonts w:ascii="Times New Roman" w:eastAsia="Times New Roman" w:hAnsi="Times New Roman"/>
          <w:sz w:val="28"/>
          <w:shd w:val="clear" w:color="auto" w:fill="FFFFFF"/>
        </w:rPr>
        <w:t>рс  в  сф</w:t>
      </w:r>
      <w:proofErr w:type="gramEnd"/>
      <w:r>
        <w:rPr>
          <w:rFonts w:ascii="Times New Roman" w:eastAsia="Times New Roman" w:hAnsi="Times New Roman"/>
          <w:sz w:val="28"/>
          <w:shd w:val="clear" w:color="auto" w:fill="FFFFFF"/>
        </w:rPr>
        <w:t>ере  защиты  прав потребителей»  государственной  информационной  системы   в  сфере  защиты прав  потребителей (ГИС ЗПП). Данная   система  представляет  совокупность документированной  информации по вопросам защиты прав потребителей, качества и безопасности товаров (работ, услуг). Ресурс доступен в информационно-телекоммуникационной сети "Интернет" по адресу </w:t>
      </w:r>
      <w:hyperlink r:id="rId24" w:history="1">
        <w:r>
          <w:rPr>
            <w:rStyle w:val="a4"/>
            <w:rFonts w:ascii="Times New Roman" w:eastAsia="Times New Roman" w:hAnsi="Times New Roman"/>
            <w:sz w:val="28"/>
            <w:shd w:val="clear" w:color="auto" w:fill="FFFFFF"/>
          </w:rPr>
          <w:t>http://zpp.rospotrebnadzor.ru</w:t>
        </w:r>
      </w:hyperlink>
      <w:r>
        <w:rPr>
          <w:rFonts w:ascii="Times New Roman" w:eastAsia="Times New Roman" w:hAnsi="Times New Roman"/>
          <w:sz w:val="28"/>
          <w:shd w:val="clear" w:color="auto" w:fill="FFFFFF"/>
        </w:rPr>
        <w:t xml:space="preserve"> . В  данном  ресурсе  размещают   информацию частично  </w:t>
      </w:r>
      <w:proofErr w:type="spellStart"/>
      <w:r>
        <w:rPr>
          <w:rFonts w:ascii="Times New Roman" w:eastAsia="Times New Roman" w:hAnsi="Times New Roman"/>
          <w:sz w:val="28"/>
          <w:shd w:val="clear" w:color="auto" w:fill="FFFFFF"/>
        </w:rPr>
        <w:t>Роспотребнадзор</w:t>
      </w:r>
      <w:proofErr w:type="spellEnd"/>
      <w:r>
        <w:rPr>
          <w:rFonts w:ascii="Times New Roman" w:eastAsia="Times New Roman" w:hAnsi="Times New Roman"/>
          <w:sz w:val="28"/>
          <w:shd w:val="clear" w:color="auto" w:fill="FFFFFF"/>
        </w:rPr>
        <w:t>,  частично  территориальные  Управления  Роспотребнадзора. В  2017 году  Управлением  размещено  147  публикаций. Из  них, 40 в разделе «</w:t>
      </w:r>
      <w:r>
        <w:rPr>
          <w:rFonts w:ascii="Times New Roman" w:hAnsi="Times New Roman"/>
          <w:sz w:val="28"/>
          <w:szCs w:val="28"/>
        </w:rPr>
        <w:t>Новости</w:t>
      </w:r>
      <w:r>
        <w:rPr>
          <w:rFonts w:ascii="Times New Roman" w:eastAsia="Times New Roman" w:hAnsi="Times New Roman"/>
          <w:sz w:val="28"/>
          <w:shd w:val="clear" w:color="auto" w:fill="FFFFFF"/>
        </w:rPr>
        <w:t>», 5 в разделе «</w:t>
      </w:r>
      <w:r>
        <w:rPr>
          <w:rFonts w:ascii="Times New Roman" w:hAnsi="Times New Roman"/>
          <w:sz w:val="28"/>
          <w:szCs w:val="28"/>
        </w:rPr>
        <w:t>Информационно-аналитические материалы</w:t>
      </w:r>
      <w:r>
        <w:rPr>
          <w:rFonts w:ascii="Times New Roman" w:eastAsia="Times New Roman" w:hAnsi="Times New Roman"/>
          <w:sz w:val="28"/>
          <w:shd w:val="clear" w:color="auto" w:fill="FFFFFF"/>
        </w:rPr>
        <w:t>», 102 судебных  решений  в  разделе «</w:t>
      </w:r>
      <w:r>
        <w:rPr>
          <w:rFonts w:ascii="Times New Roman" w:hAnsi="Times New Roman"/>
          <w:sz w:val="28"/>
          <w:szCs w:val="28"/>
        </w:rPr>
        <w:t>Судебная практика</w:t>
      </w:r>
      <w:r>
        <w:rPr>
          <w:rFonts w:ascii="Times New Roman" w:eastAsia="Times New Roman" w:hAnsi="Times New Roman"/>
          <w:b/>
          <w:i/>
          <w:color w:val="000000"/>
          <w:sz w:val="28"/>
          <w:shd w:val="clear" w:color="auto" w:fill="FFFFFF"/>
        </w:rPr>
        <w:t>»</w:t>
      </w:r>
      <w:r>
        <w:rPr>
          <w:rFonts w:ascii="Times New Roman" w:eastAsia="Times New Roman" w:hAnsi="Times New Roman"/>
          <w:sz w:val="28"/>
          <w:shd w:val="clear" w:color="auto" w:fill="FFFFFF"/>
        </w:rPr>
        <w:t xml:space="preserve">. </w:t>
      </w:r>
    </w:p>
    <w:p w:rsidR="00233D3F" w:rsidRDefault="00233D3F" w:rsidP="00233D3F">
      <w:pPr>
        <w:spacing w:after="240" w:line="240" w:lineRule="auto"/>
        <w:ind w:firstLine="1134"/>
        <w:jc w:val="both"/>
        <w:rPr>
          <w:rFonts w:ascii="Times New Roman" w:eastAsia="Times New Roman" w:hAnsi="Times New Roman"/>
          <w:i/>
          <w:sz w:val="28"/>
          <w:shd w:val="clear" w:color="auto" w:fill="FFFFFF"/>
        </w:rPr>
      </w:pPr>
    </w:p>
    <w:p w:rsidR="00233D3F" w:rsidRDefault="00233D3F" w:rsidP="00233D3F">
      <w:pPr>
        <w:spacing w:after="200" w:line="276" w:lineRule="auto"/>
        <w:ind w:firstLine="720"/>
        <w:jc w:val="both"/>
        <w:rPr>
          <w:rFonts w:eastAsia="Calibri" w:cs="Calibri"/>
          <w:b/>
          <w:i/>
          <w:sz w:val="28"/>
        </w:rPr>
      </w:pPr>
      <w:r>
        <w:rPr>
          <w:rFonts w:eastAsia="Calibri" w:cs="Calibri"/>
          <w:b/>
          <w:i/>
          <w:sz w:val="28"/>
        </w:rPr>
        <w:t>4. Судебная защита.</w:t>
      </w:r>
    </w:p>
    <w:p w:rsidR="00233D3F" w:rsidRDefault="00233D3F" w:rsidP="00233D3F">
      <w:pPr>
        <w:spacing w:after="200" w:line="276" w:lineRule="auto"/>
        <w:ind w:firstLine="540"/>
        <w:jc w:val="both"/>
        <w:rPr>
          <w:rFonts w:eastAsia="Calibri" w:cs="Calibri"/>
          <w:b/>
          <w:i/>
        </w:rPr>
      </w:pPr>
    </w:p>
    <w:p w:rsidR="00233D3F" w:rsidRDefault="00233D3F" w:rsidP="00233D3F">
      <w:pPr>
        <w:spacing w:after="200" w:line="276" w:lineRule="auto"/>
        <w:ind w:firstLine="540"/>
        <w:jc w:val="center"/>
        <w:rPr>
          <w:rFonts w:ascii="Times New Roman" w:eastAsia="Calibri" w:hAnsi="Times New Roman"/>
          <w:b/>
          <w:sz w:val="28"/>
          <w:szCs w:val="28"/>
        </w:rPr>
      </w:pPr>
      <w:r>
        <w:rPr>
          <w:rFonts w:ascii="Times New Roman" w:eastAsia="Calibri" w:hAnsi="Times New Roman"/>
          <w:b/>
          <w:sz w:val="28"/>
          <w:szCs w:val="28"/>
        </w:rPr>
        <w:t>Количество  мероприятий по судебной защите потребителей</w:t>
      </w:r>
    </w:p>
    <w:p w:rsidR="00233D3F" w:rsidRDefault="00233D3F" w:rsidP="00165F66">
      <w:pPr>
        <w:spacing w:after="0" w:line="240" w:lineRule="auto"/>
        <w:jc w:val="both"/>
        <w:rPr>
          <w:rFonts w:ascii="Times New Roman" w:eastAsia="Times New Roman" w:hAnsi="Times New Roman"/>
          <w:b/>
          <w:i/>
          <w:sz w:val="28"/>
        </w:rPr>
      </w:pPr>
      <w:r>
        <w:rPr>
          <w:noProof/>
          <w:lang w:eastAsia="ru-RU"/>
        </w:rPr>
        <w:drawing>
          <wp:inline distT="0" distB="0" distL="0" distR="0">
            <wp:extent cx="6162675" cy="4010025"/>
            <wp:effectExtent l="19050" t="0" r="9525"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74FF" w:rsidRDefault="005174FF" w:rsidP="00233D3F">
      <w:pPr>
        <w:spacing w:after="0" w:line="240" w:lineRule="auto"/>
        <w:ind w:firstLine="1134"/>
        <w:jc w:val="both"/>
        <w:rPr>
          <w:rFonts w:ascii="Times New Roman" w:eastAsia="Times New Roman" w:hAnsi="Times New Roman"/>
          <w:sz w:val="28"/>
        </w:rPr>
      </w:pP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 xml:space="preserve">В  отчетном  году  было  дано 61 заключение  по  делу  в  целях  защиты  прав  потребителей,  что  составляет 9,5 заключений на 100 тыс. населения Псковской  области, что в  свою  очередь  превышает  среднее  значение  по  Северо-Западному  Федеральному  округу 2016 года  на  1,9   заключений на 100 тыс. населения.   Все  иски  потребителей,  по  которым  специалисты Управления  </w:t>
      </w:r>
      <w:r>
        <w:rPr>
          <w:rFonts w:ascii="Times New Roman" w:eastAsia="Times New Roman" w:hAnsi="Times New Roman"/>
          <w:sz w:val="28"/>
        </w:rPr>
        <w:lastRenderedPageBreak/>
        <w:t>давали  заключения,  удовлетворены  судами  полностью  или  частично. В  случае  частичного  удовлетворения  исков судьи  уменьшали сумму неустойки  и сумму  компенсации  морального  вреда. Остальные  требования  удовлетворяли  полностью, такие  как  расторжение  договора  купли-продажи  или  оказания  услуг  и возврата  уплаченной  суммы  по  договору,  компенсация  досудебных  и  судебных  расходов.</w:t>
      </w:r>
      <w:r>
        <w:t xml:space="preserve"> </w:t>
      </w:r>
      <w:r>
        <w:rPr>
          <w:rFonts w:ascii="Times New Roman" w:hAnsi="Times New Roman"/>
          <w:sz w:val="28"/>
          <w:szCs w:val="28"/>
        </w:rPr>
        <w:t xml:space="preserve">Общая  сумма  </w:t>
      </w:r>
      <w:proofErr w:type="gramStart"/>
      <w:r>
        <w:rPr>
          <w:rFonts w:ascii="Times New Roman" w:hAnsi="Times New Roman"/>
          <w:sz w:val="28"/>
          <w:szCs w:val="28"/>
        </w:rPr>
        <w:t>денежных  средств,   п</w:t>
      </w:r>
      <w:r>
        <w:rPr>
          <w:rFonts w:ascii="Times New Roman" w:eastAsia="Times New Roman" w:hAnsi="Times New Roman"/>
          <w:sz w:val="28"/>
        </w:rPr>
        <w:t>рисужденных  в пользу потребителей составила</w:t>
      </w:r>
      <w:proofErr w:type="gramEnd"/>
      <w:r>
        <w:rPr>
          <w:rFonts w:ascii="Times New Roman" w:eastAsia="Times New Roman" w:hAnsi="Times New Roman"/>
          <w:sz w:val="28"/>
        </w:rPr>
        <w:t xml:space="preserve">  2923,5 тысяч рублей. Из них компенсация морального вреда - 165 тысяч рублей.</w:t>
      </w:r>
    </w:p>
    <w:p w:rsidR="00233D3F" w:rsidRDefault="00233D3F" w:rsidP="00233D3F">
      <w:pPr>
        <w:spacing w:after="0" w:line="240" w:lineRule="auto"/>
        <w:ind w:firstLine="1134"/>
        <w:jc w:val="both"/>
        <w:rPr>
          <w:rFonts w:ascii="Times New Roman" w:eastAsia="Times New Roman" w:hAnsi="Times New Roman"/>
          <w:sz w:val="28"/>
        </w:rPr>
      </w:pPr>
      <w:r>
        <w:rPr>
          <w:rFonts w:ascii="Times New Roman" w:eastAsia="Times New Roman" w:hAnsi="Times New Roman"/>
          <w:sz w:val="28"/>
        </w:rPr>
        <w:t>Управлением  в 2017 году  подано 47 исков в защиту  прав  потребителей,  что  составляет 7,3 иска  на 100 тыс. населения Псковской  области. Из  них,  в  защиту  неопределенного  круга  потребителей  5 исков, в защиту  конкретного  потребителя 42  иска. Что  составляет 0,8 исков в  защиту  неопределенного  круга  потребителей  на 100 тыс. населения Псковской  области   и  6,5 иска</w:t>
      </w:r>
      <w:r w:rsidR="00652928">
        <w:rPr>
          <w:rFonts w:ascii="Times New Roman" w:eastAsia="Times New Roman" w:hAnsi="Times New Roman"/>
          <w:sz w:val="28"/>
        </w:rPr>
        <w:t xml:space="preserve"> </w:t>
      </w:r>
      <w:r>
        <w:rPr>
          <w:rFonts w:ascii="Times New Roman" w:eastAsia="Times New Roman" w:hAnsi="Times New Roman"/>
          <w:sz w:val="28"/>
        </w:rPr>
        <w:t xml:space="preserve"> в защиту  конкретного  потребителя на 100 тыс. населения Псковской  области.  </w:t>
      </w:r>
    </w:p>
    <w:p w:rsidR="00233D3F" w:rsidRDefault="00233D3F" w:rsidP="00233D3F">
      <w:pPr>
        <w:spacing w:after="0" w:line="240" w:lineRule="auto"/>
        <w:ind w:firstLine="1134"/>
        <w:jc w:val="both"/>
        <w:rPr>
          <w:rFonts w:ascii="Times New Roman" w:eastAsia="Times New Roman" w:hAnsi="Times New Roman"/>
          <w:i/>
          <w:sz w:val="28"/>
        </w:rPr>
      </w:pPr>
      <w:r>
        <w:rPr>
          <w:rFonts w:ascii="Times New Roman" w:eastAsia="Times New Roman" w:hAnsi="Times New Roman"/>
          <w:sz w:val="28"/>
        </w:rPr>
        <w:t xml:space="preserve">Всего  судами в отчетном  периоде  рассмотрено  42  иска, в  т.ч. в  защиту  неопределенного  круга  потребителей – 5  и  в  защиту  конкретного  потребителя – 37. Удовлетворено 37  исков (88%),  из  них 4 иска  в  защиту  неопределенного  круга  потребителей (80%) и 37 исков  в  защиту  конкретного  потребителя (100%). </w:t>
      </w:r>
      <w:r>
        <w:rPr>
          <w:rFonts w:ascii="Times New Roman" w:hAnsi="Times New Roman"/>
          <w:sz w:val="28"/>
          <w:szCs w:val="28"/>
        </w:rPr>
        <w:t xml:space="preserve">Общая  сумма  </w:t>
      </w:r>
      <w:proofErr w:type="gramStart"/>
      <w:r>
        <w:rPr>
          <w:rFonts w:ascii="Times New Roman" w:hAnsi="Times New Roman"/>
          <w:sz w:val="28"/>
          <w:szCs w:val="28"/>
        </w:rPr>
        <w:t>денежных  средств,   п</w:t>
      </w:r>
      <w:r>
        <w:rPr>
          <w:rFonts w:ascii="Times New Roman" w:eastAsia="Times New Roman" w:hAnsi="Times New Roman"/>
          <w:sz w:val="28"/>
        </w:rPr>
        <w:t>рисужденных  в пользу потребителей составила</w:t>
      </w:r>
      <w:proofErr w:type="gramEnd"/>
      <w:r>
        <w:rPr>
          <w:rFonts w:ascii="Times New Roman" w:eastAsia="Times New Roman" w:hAnsi="Times New Roman"/>
          <w:sz w:val="28"/>
        </w:rPr>
        <w:t xml:space="preserve">  1102,5 тысяч рублей. Из них</w:t>
      </w:r>
      <w:r w:rsidR="00683753">
        <w:rPr>
          <w:rFonts w:ascii="Times New Roman" w:eastAsia="Times New Roman" w:hAnsi="Times New Roman"/>
          <w:sz w:val="28"/>
        </w:rPr>
        <w:t xml:space="preserve">, </w:t>
      </w:r>
      <w:r>
        <w:rPr>
          <w:rFonts w:ascii="Times New Roman" w:eastAsia="Times New Roman" w:hAnsi="Times New Roman"/>
          <w:sz w:val="28"/>
        </w:rPr>
        <w:t xml:space="preserve"> компенсация морального вреда - 84 тысячи рублей. </w:t>
      </w:r>
    </w:p>
    <w:p w:rsidR="00233D3F" w:rsidRDefault="00233D3F" w:rsidP="00233D3F">
      <w:pPr>
        <w:spacing w:after="0" w:line="240" w:lineRule="auto"/>
        <w:ind w:firstLine="1134"/>
        <w:jc w:val="both"/>
        <w:rPr>
          <w:rFonts w:ascii="Times New Roman" w:eastAsia="Times New Roman" w:hAnsi="Times New Roman"/>
          <w:i/>
          <w:sz w:val="28"/>
        </w:rPr>
      </w:pPr>
    </w:p>
    <w:p w:rsidR="00233D3F" w:rsidRDefault="00233D3F" w:rsidP="00233D3F">
      <w:pPr>
        <w:spacing w:after="200" w:line="276" w:lineRule="auto"/>
        <w:ind w:firstLine="708"/>
        <w:jc w:val="both"/>
        <w:rPr>
          <w:rFonts w:ascii="Times New Roman" w:eastAsia="Times New Roman" w:hAnsi="Times New Roman"/>
          <w:sz w:val="28"/>
        </w:rPr>
      </w:pPr>
      <w:r>
        <w:rPr>
          <w:rFonts w:ascii="Times New Roman" w:eastAsia="Times New Roman" w:hAnsi="Times New Roman"/>
          <w:sz w:val="28"/>
        </w:rPr>
        <w:t xml:space="preserve">При  обращении  в  суды,  потребители  в  основном  требовали:  </w:t>
      </w:r>
    </w:p>
    <w:p w:rsidR="00233D3F" w:rsidRDefault="00233D3F" w:rsidP="00233D3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обязать ответчика расторгнуть договор купли-продажи  либо  договор  на  оказание  услуг  и вернуть стоимость товара   или  услуги  ненадлежащего качества;</w:t>
      </w:r>
    </w:p>
    <w:p w:rsidR="00233D3F" w:rsidRDefault="00233D3F" w:rsidP="00233D3F">
      <w:pPr>
        <w:numPr>
          <w:ilvl w:val="0"/>
          <w:numId w:val="7"/>
        </w:numPr>
        <w:tabs>
          <w:tab w:val="left" w:pos="540"/>
        </w:tabs>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взыскать с ответчика неустойку за просрочку исполнения требования потребителя, за нарушение сроков исполнения договора, за пользование чужими денежными средствами и т.д.;</w:t>
      </w:r>
    </w:p>
    <w:p w:rsidR="00233D3F" w:rsidRDefault="00233D3F" w:rsidP="00233D3F">
      <w:pPr>
        <w:numPr>
          <w:ilvl w:val="0"/>
          <w:numId w:val="7"/>
        </w:numPr>
        <w:tabs>
          <w:tab w:val="left" w:pos="540"/>
        </w:tabs>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обязать ответчика   компенсировать причиненный  моральный  вред.</w:t>
      </w:r>
    </w:p>
    <w:p w:rsidR="00233D3F" w:rsidRDefault="00233D3F" w:rsidP="00233D3F">
      <w:pPr>
        <w:spacing w:after="0" w:line="240" w:lineRule="auto"/>
        <w:ind w:firstLine="993"/>
        <w:jc w:val="both"/>
        <w:rPr>
          <w:rFonts w:ascii="Times New Roman" w:eastAsia="Times New Roman" w:hAnsi="Times New Roman"/>
          <w:b/>
          <w:sz w:val="28"/>
          <w:u w:val="single"/>
        </w:rPr>
      </w:pPr>
    </w:p>
    <w:p w:rsidR="00233D3F" w:rsidRDefault="00233D3F" w:rsidP="00233D3F">
      <w:pPr>
        <w:spacing w:after="0" w:line="240" w:lineRule="auto"/>
        <w:ind w:firstLine="993"/>
        <w:jc w:val="both"/>
        <w:rPr>
          <w:rFonts w:ascii="Times New Roman" w:eastAsia="Times New Roman" w:hAnsi="Times New Roman"/>
          <w:b/>
          <w:i/>
          <w:sz w:val="28"/>
          <w:u w:val="single"/>
        </w:rPr>
      </w:pPr>
    </w:p>
    <w:p w:rsidR="00233D3F" w:rsidRDefault="00233D3F" w:rsidP="00233D3F">
      <w:pPr>
        <w:spacing w:after="200" w:line="276" w:lineRule="auto"/>
        <w:ind w:firstLine="709"/>
        <w:jc w:val="both"/>
        <w:rPr>
          <w:rFonts w:ascii="Times New Roman" w:eastAsia="Times New Roman" w:hAnsi="Times New Roman"/>
          <w:b/>
          <w:i/>
        </w:rPr>
      </w:pPr>
      <w:r>
        <w:rPr>
          <w:rFonts w:eastAsia="Calibri" w:cs="Calibri"/>
          <w:b/>
          <w:i/>
          <w:sz w:val="28"/>
        </w:rPr>
        <w:t>5. Заключительная  часть</w:t>
      </w:r>
    </w:p>
    <w:p w:rsidR="00233D3F" w:rsidRDefault="00233D3F" w:rsidP="00233D3F">
      <w:pPr>
        <w:spacing w:after="200" w:line="276" w:lineRule="auto"/>
        <w:ind w:firstLine="720"/>
        <w:jc w:val="both"/>
        <w:rPr>
          <w:rFonts w:eastAsia="Calibri" w:cs="Calibri"/>
          <w:b/>
          <w:i/>
          <w:sz w:val="28"/>
        </w:rPr>
      </w:pPr>
    </w:p>
    <w:p w:rsidR="00233D3F" w:rsidRPr="00545229" w:rsidRDefault="00233D3F" w:rsidP="00233D3F">
      <w:pPr>
        <w:spacing w:after="0" w:line="240" w:lineRule="auto"/>
        <w:ind w:firstLine="720"/>
        <w:jc w:val="both"/>
        <w:rPr>
          <w:rFonts w:ascii="Times New Roman" w:eastAsia="Times New Roman" w:hAnsi="Times New Roman"/>
          <w:sz w:val="28"/>
        </w:rPr>
      </w:pPr>
      <w:proofErr w:type="gramStart"/>
      <w:r w:rsidRPr="00545229">
        <w:rPr>
          <w:rFonts w:ascii="Times New Roman" w:eastAsia="Times New Roman" w:hAnsi="Times New Roman"/>
          <w:sz w:val="28"/>
        </w:rPr>
        <w:t>Исходя  из  анализа  проделанной  в  отчетном  периоде  работы  Управления  по  защите  прав  потребителей необходимо   в  2017году  специалистам  по  защите  прав  потребителей   активизировать</w:t>
      </w:r>
      <w:proofErr w:type="gramEnd"/>
      <w:r w:rsidRPr="00545229">
        <w:rPr>
          <w:rFonts w:ascii="Times New Roman" w:eastAsia="Times New Roman" w:hAnsi="Times New Roman"/>
          <w:sz w:val="28"/>
        </w:rPr>
        <w:t>,  разнообразить</w:t>
      </w:r>
      <w:r w:rsidRPr="00545229">
        <w:rPr>
          <w:rFonts w:eastAsia="Calibri" w:cs="Calibri"/>
          <w:sz w:val="28"/>
        </w:rPr>
        <w:t xml:space="preserve">   </w:t>
      </w:r>
      <w:r w:rsidRPr="00545229">
        <w:rPr>
          <w:rFonts w:ascii="Times New Roman" w:eastAsia="Times New Roman" w:hAnsi="Times New Roman"/>
          <w:sz w:val="28"/>
        </w:rPr>
        <w:t xml:space="preserve">информационно-просветительскую  работу  среди  населения  о  законодательстве  в  сфере  защиты  прав  потребителей,  о  полномочиях  Роспотребнадзора,  о  правах  потребителей  при  реализации  их  прав  в  досудебном  и  судебном  порядке.  Не  снижая  работу  по  взаимодействию   с  различными  СМИ, параллельно  искать  новые  способы  доведения  до  потребителей  актуальной  информации.  Активизировать  судебную  защиту  прав  потребителей. Продолжить  не  формальный  подход  к  даче  заключений  по  делу.  </w:t>
      </w:r>
    </w:p>
    <w:p w:rsidR="00233D3F" w:rsidRPr="00545229" w:rsidRDefault="00233D3F" w:rsidP="00233D3F">
      <w:pPr>
        <w:spacing w:after="0" w:line="240" w:lineRule="auto"/>
        <w:ind w:firstLine="720"/>
        <w:jc w:val="both"/>
        <w:rPr>
          <w:rFonts w:ascii="Times New Roman" w:eastAsia="Times New Roman" w:hAnsi="Times New Roman"/>
          <w:sz w:val="28"/>
        </w:rPr>
      </w:pPr>
      <w:r w:rsidRPr="00545229">
        <w:rPr>
          <w:rFonts w:ascii="Times New Roman" w:eastAsia="Times New Roman" w:hAnsi="Times New Roman"/>
          <w:sz w:val="28"/>
        </w:rPr>
        <w:lastRenderedPageBreak/>
        <w:t>Принять  необходимые  меры  к  обязательному  исполнению  Плана  организационных  мероприятий  на  2018год,  в  том  числе  и  Плана  мероприятий,  приуроченных  к  Всемирному  Дню  защиты  прав  потребителей.</w:t>
      </w:r>
    </w:p>
    <w:p w:rsidR="00233D3F" w:rsidRDefault="00233D3F" w:rsidP="00233D3F">
      <w:pPr>
        <w:spacing w:after="0" w:line="240" w:lineRule="auto"/>
        <w:ind w:firstLine="720"/>
        <w:jc w:val="both"/>
        <w:rPr>
          <w:rFonts w:ascii="Times New Roman" w:eastAsia="Times New Roman" w:hAnsi="Times New Roman"/>
          <w:i/>
          <w:sz w:val="28"/>
        </w:rPr>
      </w:pPr>
    </w:p>
    <w:p w:rsidR="00233D3F" w:rsidRDefault="00233D3F" w:rsidP="00233D3F">
      <w:pPr>
        <w:spacing w:after="0" w:line="240" w:lineRule="auto"/>
        <w:ind w:firstLine="720"/>
        <w:jc w:val="both"/>
        <w:rPr>
          <w:rFonts w:ascii="Times New Roman" w:eastAsia="Times New Roman" w:hAnsi="Times New Roman"/>
          <w:sz w:val="28"/>
        </w:rPr>
      </w:pPr>
    </w:p>
    <w:p w:rsidR="00233D3F" w:rsidRDefault="00233D3F" w:rsidP="00233D3F">
      <w:pPr>
        <w:spacing w:after="200" w:line="276" w:lineRule="auto"/>
        <w:ind w:firstLine="708"/>
        <w:jc w:val="both"/>
        <w:rPr>
          <w:rFonts w:eastAsia="Calibri" w:cs="Calibri"/>
          <w:b/>
          <w:i/>
          <w:sz w:val="28"/>
        </w:rPr>
      </w:pPr>
    </w:p>
    <w:p w:rsidR="00233D3F" w:rsidRDefault="00233D3F" w:rsidP="00233D3F">
      <w:pPr>
        <w:spacing w:after="200" w:line="276" w:lineRule="auto"/>
        <w:rPr>
          <w:rFonts w:eastAsia="Calibri" w:cs="Calibri"/>
        </w:rPr>
      </w:pPr>
    </w:p>
    <w:p w:rsidR="007F5B21" w:rsidRDefault="007F5B21"/>
    <w:sectPr w:rsidR="007F5B21" w:rsidSect="00D04344">
      <w:pgSz w:w="11906" w:h="16838"/>
      <w:pgMar w:top="568"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DengXian">
    <w:altName w:val="等线"/>
    <w:charset w:val="86"/>
    <w:family w:val="modern"/>
    <w:pitch w:val="fixed"/>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74B39"/>
    <w:multiLevelType w:val="multilevel"/>
    <w:tmpl w:val="3EE688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3D203201"/>
    <w:multiLevelType w:val="hybridMultilevel"/>
    <w:tmpl w:val="40F41E0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9BB44FF"/>
    <w:multiLevelType w:val="multilevel"/>
    <w:tmpl w:val="607279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4CF814D9"/>
    <w:multiLevelType w:val="multilevel"/>
    <w:tmpl w:val="DD98ADB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503D02EC"/>
    <w:multiLevelType w:val="multilevel"/>
    <w:tmpl w:val="8DB86A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EB05950"/>
    <w:multiLevelType w:val="multilevel"/>
    <w:tmpl w:val="4F0CF7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A0F12F7"/>
    <w:multiLevelType w:val="multilevel"/>
    <w:tmpl w:val="67A8F9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3D3F"/>
    <w:rsid w:val="00003587"/>
    <w:rsid w:val="00012C84"/>
    <w:rsid w:val="000236B4"/>
    <w:rsid w:val="000468BE"/>
    <w:rsid w:val="000568EE"/>
    <w:rsid w:val="00061424"/>
    <w:rsid w:val="00092B09"/>
    <w:rsid w:val="000B60F6"/>
    <w:rsid w:val="000D066E"/>
    <w:rsid w:val="000D2F97"/>
    <w:rsid w:val="000D330A"/>
    <w:rsid w:val="000D6327"/>
    <w:rsid w:val="000D7AAF"/>
    <w:rsid w:val="000E319B"/>
    <w:rsid w:val="000F59B7"/>
    <w:rsid w:val="00134631"/>
    <w:rsid w:val="00150A2C"/>
    <w:rsid w:val="00165F66"/>
    <w:rsid w:val="0016700E"/>
    <w:rsid w:val="0017739D"/>
    <w:rsid w:val="00186AA9"/>
    <w:rsid w:val="001A3179"/>
    <w:rsid w:val="001A4686"/>
    <w:rsid w:val="001C7C59"/>
    <w:rsid w:val="001E0756"/>
    <w:rsid w:val="002103A7"/>
    <w:rsid w:val="00222F79"/>
    <w:rsid w:val="00233D3F"/>
    <w:rsid w:val="00235273"/>
    <w:rsid w:val="00244102"/>
    <w:rsid w:val="002804A3"/>
    <w:rsid w:val="002938EB"/>
    <w:rsid w:val="00293AD9"/>
    <w:rsid w:val="002A1523"/>
    <w:rsid w:val="002B2EA9"/>
    <w:rsid w:val="002B3558"/>
    <w:rsid w:val="002B5E93"/>
    <w:rsid w:val="002C5832"/>
    <w:rsid w:val="002D70D1"/>
    <w:rsid w:val="002E66D3"/>
    <w:rsid w:val="002E67C1"/>
    <w:rsid w:val="002F23E0"/>
    <w:rsid w:val="002F458E"/>
    <w:rsid w:val="00301737"/>
    <w:rsid w:val="00313704"/>
    <w:rsid w:val="00320E86"/>
    <w:rsid w:val="003230F8"/>
    <w:rsid w:val="003252A6"/>
    <w:rsid w:val="003322C2"/>
    <w:rsid w:val="00340486"/>
    <w:rsid w:val="00341FDB"/>
    <w:rsid w:val="00354AC1"/>
    <w:rsid w:val="00361405"/>
    <w:rsid w:val="00367030"/>
    <w:rsid w:val="003676F8"/>
    <w:rsid w:val="0037085A"/>
    <w:rsid w:val="00372320"/>
    <w:rsid w:val="00391EC1"/>
    <w:rsid w:val="003961BF"/>
    <w:rsid w:val="003A0CE9"/>
    <w:rsid w:val="003A5203"/>
    <w:rsid w:val="003B79B0"/>
    <w:rsid w:val="003C4D19"/>
    <w:rsid w:val="003E3A16"/>
    <w:rsid w:val="003F021A"/>
    <w:rsid w:val="004014BB"/>
    <w:rsid w:val="00412D51"/>
    <w:rsid w:val="004210A3"/>
    <w:rsid w:val="00430675"/>
    <w:rsid w:val="0043147E"/>
    <w:rsid w:val="00442559"/>
    <w:rsid w:val="004562A4"/>
    <w:rsid w:val="004647A3"/>
    <w:rsid w:val="00473D2B"/>
    <w:rsid w:val="0047679E"/>
    <w:rsid w:val="00485870"/>
    <w:rsid w:val="00487511"/>
    <w:rsid w:val="00487DE2"/>
    <w:rsid w:val="004B4565"/>
    <w:rsid w:val="004B656B"/>
    <w:rsid w:val="004B7FE4"/>
    <w:rsid w:val="004D0AE7"/>
    <w:rsid w:val="004F4EFE"/>
    <w:rsid w:val="00513E92"/>
    <w:rsid w:val="005174FF"/>
    <w:rsid w:val="00532EC5"/>
    <w:rsid w:val="00534DAD"/>
    <w:rsid w:val="00545229"/>
    <w:rsid w:val="0054764D"/>
    <w:rsid w:val="005577F9"/>
    <w:rsid w:val="0056744A"/>
    <w:rsid w:val="005C0CF0"/>
    <w:rsid w:val="005E2057"/>
    <w:rsid w:val="006151A3"/>
    <w:rsid w:val="006240B6"/>
    <w:rsid w:val="00635EB2"/>
    <w:rsid w:val="00652928"/>
    <w:rsid w:val="00666287"/>
    <w:rsid w:val="00683753"/>
    <w:rsid w:val="00685018"/>
    <w:rsid w:val="006A2E01"/>
    <w:rsid w:val="006A382A"/>
    <w:rsid w:val="006B164C"/>
    <w:rsid w:val="006B4775"/>
    <w:rsid w:val="006D0153"/>
    <w:rsid w:val="006D5AA3"/>
    <w:rsid w:val="006F7C96"/>
    <w:rsid w:val="00711E8C"/>
    <w:rsid w:val="00730A0B"/>
    <w:rsid w:val="00736585"/>
    <w:rsid w:val="00736DFB"/>
    <w:rsid w:val="0074650D"/>
    <w:rsid w:val="00752F50"/>
    <w:rsid w:val="00761C23"/>
    <w:rsid w:val="007A1EA2"/>
    <w:rsid w:val="007E4323"/>
    <w:rsid w:val="007F5B21"/>
    <w:rsid w:val="007F5ED6"/>
    <w:rsid w:val="007F615F"/>
    <w:rsid w:val="00835A29"/>
    <w:rsid w:val="00844D4E"/>
    <w:rsid w:val="008548C0"/>
    <w:rsid w:val="0086316F"/>
    <w:rsid w:val="00865A93"/>
    <w:rsid w:val="00867ECE"/>
    <w:rsid w:val="00876C05"/>
    <w:rsid w:val="00886C0B"/>
    <w:rsid w:val="00894241"/>
    <w:rsid w:val="008A30AE"/>
    <w:rsid w:val="008B3E55"/>
    <w:rsid w:val="008B604A"/>
    <w:rsid w:val="008B7CFB"/>
    <w:rsid w:val="008D13C4"/>
    <w:rsid w:val="008E4B18"/>
    <w:rsid w:val="00952B59"/>
    <w:rsid w:val="00961919"/>
    <w:rsid w:val="0098671E"/>
    <w:rsid w:val="00990CE4"/>
    <w:rsid w:val="009A3C45"/>
    <w:rsid w:val="009A7EF1"/>
    <w:rsid w:val="009C1FE9"/>
    <w:rsid w:val="009C56DC"/>
    <w:rsid w:val="009F2ACA"/>
    <w:rsid w:val="009F678A"/>
    <w:rsid w:val="00A224C8"/>
    <w:rsid w:val="00A46EE6"/>
    <w:rsid w:val="00A47211"/>
    <w:rsid w:val="00A74EB8"/>
    <w:rsid w:val="00A83B2E"/>
    <w:rsid w:val="00AA6509"/>
    <w:rsid w:val="00AB4D7C"/>
    <w:rsid w:val="00AC7947"/>
    <w:rsid w:val="00AD4A27"/>
    <w:rsid w:val="00AD4DBD"/>
    <w:rsid w:val="00AD7B31"/>
    <w:rsid w:val="00B015B0"/>
    <w:rsid w:val="00B20250"/>
    <w:rsid w:val="00B43A16"/>
    <w:rsid w:val="00B573E4"/>
    <w:rsid w:val="00B6763A"/>
    <w:rsid w:val="00B84BEB"/>
    <w:rsid w:val="00B90883"/>
    <w:rsid w:val="00B91DAA"/>
    <w:rsid w:val="00BA4C3F"/>
    <w:rsid w:val="00BD0C8F"/>
    <w:rsid w:val="00BF3415"/>
    <w:rsid w:val="00C14C30"/>
    <w:rsid w:val="00C2769E"/>
    <w:rsid w:val="00C36F5F"/>
    <w:rsid w:val="00C768FD"/>
    <w:rsid w:val="00C779B5"/>
    <w:rsid w:val="00C8495A"/>
    <w:rsid w:val="00C94FCF"/>
    <w:rsid w:val="00C96658"/>
    <w:rsid w:val="00CD5530"/>
    <w:rsid w:val="00CE09A2"/>
    <w:rsid w:val="00CF6FAE"/>
    <w:rsid w:val="00D04344"/>
    <w:rsid w:val="00D30272"/>
    <w:rsid w:val="00D306A6"/>
    <w:rsid w:val="00D4176B"/>
    <w:rsid w:val="00D556B7"/>
    <w:rsid w:val="00D56E4A"/>
    <w:rsid w:val="00D73350"/>
    <w:rsid w:val="00D80D8B"/>
    <w:rsid w:val="00DA4C04"/>
    <w:rsid w:val="00DA6CDD"/>
    <w:rsid w:val="00DB0B78"/>
    <w:rsid w:val="00DB6488"/>
    <w:rsid w:val="00DC23B5"/>
    <w:rsid w:val="00DF7B3C"/>
    <w:rsid w:val="00E11B01"/>
    <w:rsid w:val="00E12F17"/>
    <w:rsid w:val="00E3798C"/>
    <w:rsid w:val="00E4267D"/>
    <w:rsid w:val="00E655B1"/>
    <w:rsid w:val="00E93208"/>
    <w:rsid w:val="00E93C56"/>
    <w:rsid w:val="00E96852"/>
    <w:rsid w:val="00EA1637"/>
    <w:rsid w:val="00EA7D15"/>
    <w:rsid w:val="00EC0427"/>
    <w:rsid w:val="00EE579D"/>
    <w:rsid w:val="00F04E67"/>
    <w:rsid w:val="00F23BDE"/>
    <w:rsid w:val="00F24511"/>
    <w:rsid w:val="00F423DA"/>
    <w:rsid w:val="00F536D4"/>
    <w:rsid w:val="00F57FCE"/>
    <w:rsid w:val="00F6064A"/>
    <w:rsid w:val="00F704A8"/>
    <w:rsid w:val="00F70CBB"/>
    <w:rsid w:val="00F9728F"/>
    <w:rsid w:val="00FC6F7A"/>
    <w:rsid w:val="00FE2534"/>
    <w:rsid w:val="00FE40BD"/>
    <w:rsid w:val="00FE6E0B"/>
    <w:rsid w:val="00FE7C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D3F"/>
    <w:pPr>
      <w:spacing w:after="160" w:line="256" w:lineRule="auto"/>
    </w:pPr>
    <w:rPr>
      <w:rFonts w:ascii="Calibri" w:eastAsia="DengXian" w:hAnsi="Calibri" w:cs="Times New Roman"/>
      <w:lang w:eastAsia="zh-CN"/>
    </w:rPr>
  </w:style>
  <w:style w:type="paragraph" w:styleId="1">
    <w:name w:val="heading 1"/>
    <w:basedOn w:val="a"/>
    <w:link w:val="10"/>
    <w:uiPriority w:val="9"/>
    <w:qFormat/>
    <w:rsid w:val="00233D3F"/>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3D3F"/>
    <w:rPr>
      <w:rFonts w:ascii="Times New Roman" w:eastAsia="Times New Roman" w:hAnsi="Times New Roman" w:cs="Times New Roman"/>
      <w:b/>
      <w:bCs/>
      <w:kern w:val="36"/>
      <w:sz w:val="48"/>
      <w:szCs w:val="48"/>
    </w:rPr>
  </w:style>
  <w:style w:type="paragraph" w:styleId="a3">
    <w:name w:val="List Paragraph"/>
    <w:basedOn w:val="a"/>
    <w:uiPriority w:val="34"/>
    <w:qFormat/>
    <w:rsid w:val="00233D3F"/>
    <w:pPr>
      <w:ind w:left="720"/>
      <w:contextualSpacing/>
    </w:pPr>
    <w:rPr>
      <w:rFonts w:eastAsia="Calibri"/>
      <w:lang w:eastAsia="en-US"/>
    </w:rPr>
  </w:style>
  <w:style w:type="character" w:styleId="a4">
    <w:name w:val="Hyperlink"/>
    <w:basedOn w:val="a0"/>
    <w:uiPriority w:val="99"/>
    <w:semiHidden/>
    <w:unhideWhenUsed/>
    <w:rsid w:val="00233D3F"/>
    <w:rPr>
      <w:color w:val="0000FF"/>
      <w:u w:val="single"/>
    </w:rPr>
  </w:style>
  <w:style w:type="paragraph" w:styleId="a5">
    <w:name w:val="Balloon Text"/>
    <w:basedOn w:val="a"/>
    <w:link w:val="a6"/>
    <w:uiPriority w:val="99"/>
    <w:semiHidden/>
    <w:unhideWhenUsed/>
    <w:rsid w:val="00233D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3D3F"/>
    <w:rPr>
      <w:rFonts w:ascii="Tahoma" w:eastAsia="DengXi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1141313303">
      <w:bodyDiv w:val="1"/>
      <w:marLeft w:val="0"/>
      <w:marRight w:val="0"/>
      <w:marTop w:val="0"/>
      <w:marBottom w:val="0"/>
      <w:divBdr>
        <w:top w:val="none" w:sz="0" w:space="0" w:color="auto"/>
        <w:left w:val="none" w:sz="0" w:space="0" w:color="auto"/>
        <w:bottom w:val="none" w:sz="0" w:space="0" w:color="auto"/>
        <w:right w:val="none" w:sz="0" w:space="0" w:color="auto"/>
      </w:divBdr>
    </w:div>
    <w:div w:id="20378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zpp.rospotrebnadzor.ru/" TargetMode="External"/><Relationship Id="rId5" Type="http://schemas.openxmlformats.org/officeDocument/2006/relationships/image" Target="media/image1.png"/><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image" Target="media/image4.pn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8.png"/><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'2017год'!$B$46</c:f>
              <c:strCache>
                <c:ptCount val="1"/>
                <c:pt idx="0">
                  <c:v>2016г.</c:v>
                </c:pt>
              </c:strCache>
            </c:strRef>
          </c:tx>
          <c:dLbls>
            <c:dLbl>
              <c:idx val="0"/>
              <c:layout>
                <c:manualLayout>
                  <c:x val="2.302158273381295E-2"/>
                  <c:y val="0.13395638629283493"/>
                </c:manualLayout>
              </c:layout>
              <c:showVal val="1"/>
            </c:dLbl>
            <c:dLbl>
              <c:idx val="1"/>
              <c:layout>
                <c:manualLayout>
                  <c:x val="1.1510791366906484E-2"/>
                  <c:y val="0.14018691588785046"/>
                </c:manualLayout>
              </c:layout>
              <c:showVal val="1"/>
            </c:dLbl>
            <c:dLbl>
              <c:idx val="2"/>
              <c:layout>
                <c:manualLayout>
                  <c:x val="1.9184652278177467E-3"/>
                  <c:y val="0.13707165109034269"/>
                </c:manualLayout>
              </c:layout>
              <c:showVal val="1"/>
            </c:dLbl>
            <c:txPr>
              <a:bodyPr/>
              <a:lstStyle/>
              <a:p>
                <a:pPr>
                  <a:defRPr sz="1399" baseline="0"/>
                </a:pPr>
                <a:endParaRPr lang="ru-RU"/>
              </a:p>
            </c:txPr>
            <c:showVal val="1"/>
          </c:dLbls>
          <c:cat>
            <c:strRef>
              <c:f>'2017год'!$A$47:$A$49</c:f>
              <c:strCache>
                <c:ptCount val="3"/>
                <c:pt idx="0">
                  <c:v>по  обращениям </c:v>
                </c:pt>
                <c:pt idx="1">
                  <c:v>по исполнению  предписаний</c:v>
                </c:pt>
                <c:pt idx="2">
                  <c:v>по поручениям  Президента РФ и Правительства  РФ</c:v>
                </c:pt>
              </c:strCache>
            </c:strRef>
          </c:cat>
          <c:val>
            <c:numRef>
              <c:f>'2017год'!$B$47:$B$49</c:f>
              <c:numCache>
                <c:formatCode>General</c:formatCode>
                <c:ptCount val="3"/>
                <c:pt idx="0">
                  <c:v>34</c:v>
                </c:pt>
                <c:pt idx="1">
                  <c:v>35</c:v>
                </c:pt>
                <c:pt idx="2">
                  <c:v>31</c:v>
                </c:pt>
              </c:numCache>
            </c:numRef>
          </c:val>
        </c:ser>
        <c:ser>
          <c:idx val="1"/>
          <c:order val="1"/>
          <c:tx>
            <c:strRef>
              <c:f>'2017год'!$C$46</c:f>
              <c:strCache>
                <c:ptCount val="1"/>
                <c:pt idx="0">
                  <c:v>2017г.</c:v>
                </c:pt>
              </c:strCache>
            </c:strRef>
          </c:tx>
          <c:dLbls>
            <c:dLbl>
              <c:idx val="0"/>
              <c:layout>
                <c:manualLayout>
                  <c:x val="2.3021582733812981E-2"/>
                  <c:y val="-3.1152647975077892E-2"/>
                </c:manualLayout>
              </c:layout>
              <c:showVal val="1"/>
            </c:dLbl>
            <c:dLbl>
              <c:idx val="1"/>
              <c:layout>
                <c:manualLayout>
                  <c:x val="2.3021582733812877E-2"/>
                  <c:y val="-2.803738317757011E-2"/>
                </c:manualLayout>
              </c:layout>
              <c:showVal val="1"/>
            </c:dLbl>
            <c:dLbl>
              <c:idx val="2"/>
              <c:layout>
                <c:manualLayout>
                  <c:x val="1.7266187050359719E-2"/>
                  <c:y val="0.12149532710280374"/>
                </c:manualLayout>
              </c:layout>
              <c:showVal val="1"/>
            </c:dLbl>
            <c:txPr>
              <a:bodyPr/>
              <a:lstStyle/>
              <a:p>
                <a:pPr>
                  <a:defRPr sz="1399" baseline="0"/>
                </a:pPr>
                <a:endParaRPr lang="ru-RU"/>
              </a:p>
            </c:txPr>
            <c:showVal val="1"/>
          </c:dLbls>
          <c:cat>
            <c:strRef>
              <c:f>'2017год'!$A$47:$A$49</c:f>
              <c:strCache>
                <c:ptCount val="3"/>
                <c:pt idx="0">
                  <c:v>по  обращениям </c:v>
                </c:pt>
                <c:pt idx="1">
                  <c:v>по исполнению  предписаний</c:v>
                </c:pt>
                <c:pt idx="2">
                  <c:v>по поручениям  Президента РФ и Правительства  РФ</c:v>
                </c:pt>
              </c:strCache>
            </c:strRef>
          </c:cat>
          <c:val>
            <c:numRef>
              <c:f>'2017год'!$C$47:$C$49</c:f>
              <c:numCache>
                <c:formatCode>General</c:formatCode>
                <c:ptCount val="3"/>
                <c:pt idx="0">
                  <c:v>7</c:v>
                </c:pt>
                <c:pt idx="1">
                  <c:v>9</c:v>
                </c:pt>
                <c:pt idx="2">
                  <c:v>84</c:v>
                </c:pt>
              </c:numCache>
            </c:numRef>
          </c:val>
        </c:ser>
        <c:shape val="cylinder"/>
        <c:axId val="89548288"/>
        <c:axId val="89549824"/>
        <c:axId val="84176896"/>
      </c:bar3DChart>
      <c:catAx>
        <c:axId val="89548288"/>
        <c:scaling>
          <c:orientation val="minMax"/>
        </c:scaling>
        <c:axPos val="b"/>
        <c:numFmt formatCode="General" sourceLinked="1"/>
        <c:tickLblPos val="nextTo"/>
        <c:txPr>
          <a:bodyPr/>
          <a:lstStyle/>
          <a:p>
            <a:pPr>
              <a:defRPr sz="1199" baseline="0"/>
            </a:pPr>
            <a:endParaRPr lang="ru-RU"/>
          </a:p>
        </c:txPr>
        <c:crossAx val="89549824"/>
        <c:crosses val="autoZero"/>
        <c:auto val="1"/>
        <c:lblAlgn val="ctr"/>
        <c:lblOffset val="100"/>
      </c:catAx>
      <c:valAx>
        <c:axId val="89549824"/>
        <c:scaling>
          <c:orientation val="minMax"/>
        </c:scaling>
        <c:delete val="1"/>
        <c:axPos val="l"/>
        <c:numFmt formatCode="General" sourceLinked="1"/>
        <c:tickLblPos val="none"/>
        <c:crossAx val="89548288"/>
        <c:crosses val="autoZero"/>
        <c:crossBetween val="between"/>
      </c:valAx>
      <c:serAx>
        <c:axId val="84176896"/>
        <c:scaling>
          <c:orientation val="minMax"/>
        </c:scaling>
        <c:delete val="1"/>
        <c:axPos val="b"/>
        <c:tickLblPos val="none"/>
        <c:crossAx val="89549824"/>
        <c:crosses val="autoZero"/>
      </c:serAx>
      <c:spPr>
        <a:noFill/>
        <a:ln w="25387">
          <a:noFill/>
        </a:ln>
      </c:spPr>
    </c:plotArea>
    <c:legend>
      <c:legendPos val="r"/>
      <c:layout/>
      <c:txPr>
        <a:bodyPr/>
        <a:lstStyle/>
        <a:p>
          <a:pPr>
            <a:defRPr sz="1199" baseline="0"/>
          </a:pPr>
          <a:endParaRPr lang="ru-RU"/>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'2017год'!$A$282</c:f>
              <c:strCache>
                <c:ptCount val="1"/>
                <c:pt idx="0">
                  <c:v>2017год (%)</c:v>
                </c:pt>
              </c:strCache>
            </c:strRef>
          </c:tx>
          <c:explosion val="25"/>
          <c:dLbls>
            <c:txPr>
              <a:bodyPr/>
              <a:lstStyle/>
              <a:p>
                <a:pPr>
                  <a:defRPr sz="1399" baseline="0"/>
                </a:pPr>
                <a:endParaRPr lang="ru-RU"/>
              </a:p>
            </c:txPr>
            <c:showVal val="1"/>
            <c:showLeaderLines val="1"/>
          </c:dLbls>
          <c:cat>
            <c:strRef>
              <c:f>'2017год'!$B$277:$H$281</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'2017год'!$B$282:$H$282</c:f>
              <c:numCache>
                <c:formatCode>0</c:formatCode>
                <c:ptCount val="7"/>
                <c:pt idx="0">
                  <c:v>17</c:v>
                </c:pt>
                <c:pt idx="1">
                  <c:v>2</c:v>
                </c:pt>
                <c:pt idx="2">
                  <c:v>6</c:v>
                </c:pt>
                <c:pt idx="3">
                  <c:v>11</c:v>
                </c:pt>
                <c:pt idx="4">
                  <c:v>5</c:v>
                </c:pt>
                <c:pt idx="5">
                  <c:v>9</c:v>
                </c:pt>
                <c:pt idx="6">
                  <c:v>26</c:v>
                </c:pt>
              </c:numCache>
            </c:numRef>
          </c:val>
        </c:ser>
      </c:pie3DChart>
      <c:spPr>
        <a:noFill/>
        <a:ln w="25375">
          <a:noFill/>
        </a:ln>
      </c:spPr>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'2017год'!$B$365</c:f>
              <c:strCache>
                <c:ptCount val="1"/>
                <c:pt idx="0">
                  <c:v> Даны разъяснения  по  обращениям</c:v>
                </c:pt>
              </c:strCache>
            </c:strRef>
          </c:tx>
          <c:dLbls>
            <c:dLbl>
              <c:idx val="0"/>
              <c:layout>
                <c:manualLayout>
                  <c:x val="2.0898641588296775E-2"/>
                  <c:y val="-2.1382204377795887E-2"/>
                </c:manualLayout>
              </c:layout>
              <c:showVal val="1"/>
            </c:dLbl>
            <c:dLbl>
              <c:idx val="1"/>
              <c:layout>
                <c:manualLayout>
                  <c:x val="1.2539184952978056E-2"/>
                  <c:y val="-1.832760375239648E-2"/>
                </c:manualLayout>
              </c:layout>
              <c:showVal val="1"/>
            </c:dLbl>
            <c:txPr>
              <a:bodyPr/>
              <a:lstStyle/>
              <a:p>
                <a:pPr>
                  <a:defRPr sz="1399" baseline="0"/>
                </a:pPr>
                <a:endParaRPr lang="ru-RU"/>
              </a:p>
            </c:txPr>
            <c:showVal val="1"/>
          </c:dLbls>
          <c:cat>
            <c:strRef>
              <c:f>'2017год'!$C$364:$D$364</c:f>
              <c:strCache>
                <c:ptCount val="2"/>
                <c:pt idx="0">
                  <c:v>2016год</c:v>
                </c:pt>
                <c:pt idx="1">
                  <c:v>2017год</c:v>
                </c:pt>
              </c:strCache>
            </c:strRef>
          </c:cat>
          <c:val>
            <c:numRef>
              <c:f>'2017год'!$C$365:$D$365</c:f>
              <c:numCache>
                <c:formatCode>General</c:formatCode>
                <c:ptCount val="2"/>
                <c:pt idx="0">
                  <c:v>86</c:v>
                </c:pt>
                <c:pt idx="1">
                  <c:v>91</c:v>
                </c:pt>
              </c:numCache>
            </c:numRef>
          </c:val>
        </c:ser>
        <c:ser>
          <c:idx val="1"/>
          <c:order val="1"/>
          <c:tx>
            <c:strRef>
              <c:f>'2017год'!$B$366</c:f>
              <c:strCache>
                <c:ptCount val="1"/>
                <c:pt idx="0">
                  <c:v>Письменные обращения, направленные  по подведомственности</c:v>
                </c:pt>
              </c:strCache>
            </c:strRef>
          </c:tx>
          <c:dLbls>
            <c:dLbl>
              <c:idx val="0"/>
              <c:layout>
                <c:manualLayout>
                  <c:x val="1.2539184952978037E-2"/>
                  <c:y val="-9.1638018761982468E-3"/>
                </c:manualLayout>
              </c:layout>
              <c:showVal val="1"/>
            </c:dLbl>
            <c:dLbl>
              <c:idx val="1"/>
              <c:layout>
                <c:manualLayout>
                  <c:x val="1.671891327063741E-2"/>
                  <c:y val="-2.7491405628594742E-2"/>
                </c:manualLayout>
              </c:layout>
              <c:showVal val="1"/>
            </c:dLbl>
            <c:txPr>
              <a:bodyPr/>
              <a:lstStyle/>
              <a:p>
                <a:pPr>
                  <a:defRPr sz="1399" baseline="0"/>
                </a:pPr>
                <a:endParaRPr lang="ru-RU"/>
              </a:p>
            </c:txPr>
            <c:showVal val="1"/>
          </c:dLbls>
          <c:cat>
            <c:strRef>
              <c:f>'2017год'!$C$364:$D$364</c:f>
              <c:strCache>
                <c:ptCount val="2"/>
                <c:pt idx="0">
                  <c:v>2016год</c:v>
                </c:pt>
                <c:pt idx="1">
                  <c:v>2017год</c:v>
                </c:pt>
              </c:strCache>
            </c:strRef>
          </c:cat>
          <c:val>
            <c:numRef>
              <c:f>'2017год'!$C$366:$D$366</c:f>
              <c:numCache>
                <c:formatCode>General</c:formatCode>
                <c:ptCount val="2"/>
                <c:pt idx="0">
                  <c:v>20</c:v>
                </c:pt>
                <c:pt idx="1">
                  <c:v>23</c:v>
                </c:pt>
              </c:numCache>
            </c:numRef>
          </c:val>
        </c:ser>
        <c:ser>
          <c:idx val="2"/>
          <c:order val="2"/>
          <c:tx>
            <c:strRef>
              <c:f>'2017год'!$B$367</c:f>
              <c:strCache>
                <c:ptCount val="1"/>
                <c:pt idx="0">
                  <c:v>Письменные обращения, ставшие основанием для проведения проверок</c:v>
                </c:pt>
              </c:strCache>
            </c:strRef>
          </c:tx>
          <c:dLbls>
            <c:dLbl>
              <c:idx val="0"/>
              <c:layout>
                <c:manualLayout>
                  <c:x val="1.88087774294671E-2"/>
                  <c:y val="-1.5273003126997066E-2"/>
                </c:manualLayout>
              </c:layout>
              <c:showVal val="1"/>
            </c:dLbl>
            <c:dLbl>
              <c:idx val="1"/>
              <c:layout>
                <c:manualLayout>
                  <c:x val="1.2539184952978056E-2"/>
                  <c:y val="-1.2218402501597538E-2"/>
                </c:manualLayout>
              </c:layout>
              <c:showVal val="1"/>
            </c:dLbl>
            <c:txPr>
              <a:bodyPr/>
              <a:lstStyle/>
              <a:p>
                <a:pPr>
                  <a:defRPr sz="1399" baseline="0"/>
                </a:pPr>
                <a:endParaRPr lang="ru-RU"/>
              </a:p>
            </c:txPr>
            <c:showVal val="1"/>
          </c:dLbls>
          <c:cat>
            <c:strRef>
              <c:f>'2017год'!$C$364:$D$364</c:f>
              <c:strCache>
                <c:ptCount val="2"/>
                <c:pt idx="0">
                  <c:v>2016год</c:v>
                </c:pt>
                <c:pt idx="1">
                  <c:v>2017год</c:v>
                </c:pt>
              </c:strCache>
            </c:strRef>
          </c:cat>
          <c:val>
            <c:numRef>
              <c:f>'2017год'!$C$367:$D$367</c:f>
              <c:numCache>
                <c:formatCode>General</c:formatCode>
                <c:ptCount val="2"/>
                <c:pt idx="0">
                  <c:v>30</c:v>
                </c:pt>
                <c:pt idx="1">
                  <c:v>4</c:v>
                </c:pt>
              </c:numCache>
            </c:numRef>
          </c:val>
        </c:ser>
        <c:ser>
          <c:idx val="3"/>
          <c:order val="3"/>
          <c:tx>
            <c:strRef>
              <c:f>'2017год'!$B$368</c:f>
              <c:strCache>
                <c:ptCount val="1"/>
                <c:pt idx="0">
                  <c:v>Письменные Обращения, ставшие основанием для проведения административных расследований</c:v>
                </c:pt>
              </c:strCache>
            </c:strRef>
          </c:tx>
          <c:dLbls>
            <c:dLbl>
              <c:idx val="0"/>
              <c:layout>
                <c:manualLayout>
                  <c:x val="1.88087774294671E-2"/>
                  <c:y val="-1.5273003126996948E-2"/>
                </c:manualLayout>
              </c:layout>
              <c:showVal val="1"/>
            </c:dLbl>
            <c:dLbl>
              <c:idx val="1"/>
              <c:layout>
                <c:manualLayout>
                  <c:x val="1.8808777429467169E-2"/>
                  <c:y val="-1.8327603752396365E-2"/>
                </c:manualLayout>
              </c:layout>
              <c:showVal val="1"/>
            </c:dLbl>
            <c:txPr>
              <a:bodyPr/>
              <a:lstStyle/>
              <a:p>
                <a:pPr>
                  <a:defRPr sz="1399" baseline="0"/>
                </a:pPr>
                <a:endParaRPr lang="ru-RU"/>
              </a:p>
            </c:txPr>
            <c:showVal val="1"/>
          </c:dLbls>
          <c:cat>
            <c:strRef>
              <c:f>'2017год'!$C$364:$D$364</c:f>
              <c:strCache>
                <c:ptCount val="2"/>
                <c:pt idx="0">
                  <c:v>2016год</c:v>
                </c:pt>
                <c:pt idx="1">
                  <c:v>2017год</c:v>
                </c:pt>
              </c:strCache>
            </c:strRef>
          </c:cat>
          <c:val>
            <c:numRef>
              <c:f>'2017год'!$C$368:$D$368</c:f>
              <c:numCache>
                <c:formatCode>General</c:formatCode>
                <c:ptCount val="2"/>
                <c:pt idx="0">
                  <c:v>2</c:v>
                </c:pt>
                <c:pt idx="1">
                  <c:v>6</c:v>
                </c:pt>
              </c:numCache>
            </c:numRef>
          </c:val>
        </c:ser>
        <c:shape val="box"/>
        <c:axId val="93883392"/>
        <c:axId val="93909760"/>
        <c:axId val="0"/>
      </c:bar3DChart>
      <c:catAx>
        <c:axId val="93883392"/>
        <c:scaling>
          <c:orientation val="minMax"/>
        </c:scaling>
        <c:axPos val="b"/>
        <c:numFmt formatCode="General" sourceLinked="1"/>
        <c:tickLblPos val="nextTo"/>
        <c:txPr>
          <a:bodyPr/>
          <a:lstStyle/>
          <a:p>
            <a:pPr>
              <a:defRPr sz="1199" baseline="0"/>
            </a:pPr>
            <a:endParaRPr lang="ru-RU"/>
          </a:p>
        </c:txPr>
        <c:crossAx val="93909760"/>
        <c:crosses val="autoZero"/>
        <c:auto val="1"/>
        <c:lblAlgn val="ctr"/>
        <c:lblOffset val="100"/>
      </c:catAx>
      <c:valAx>
        <c:axId val="93909760"/>
        <c:scaling>
          <c:orientation val="minMax"/>
        </c:scaling>
        <c:delete val="1"/>
        <c:axPos val="l"/>
        <c:numFmt formatCode="General" sourceLinked="1"/>
        <c:tickLblPos val="none"/>
        <c:crossAx val="93883392"/>
        <c:crosses val="autoZero"/>
        <c:crossBetween val="between"/>
      </c:valAx>
      <c:spPr>
        <a:noFill/>
        <a:ln w="25374">
          <a:noFill/>
        </a:ln>
      </c:spPr>
    </c:plotArea>
    <c:legend>
      <c:legendPos val="r"/>
      <c:layout>
        <c:manualLayout>
          <c:xMode val="edge"/>
          <c:yMode val="edge"/>
          <c:x val="0.64947740608857085"/>
          <c:y val="5.1656246831806987E-2"/>
          <c:w val="0.33380360098299788"/>
          <c:h val="0.89668773163011273"/>
        </c:manualLayout>
      </c:layout>
      <c:txPr>
        <a:bodyPr/>
        <a:lstStyle/>
        <a:p>
          <a:pPr>
            <a:defRPr sz="1199" baseline="0"/>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'2017год'!$A$314</c:f>
              <c:strCache>
                <c:ptCount val="1"/>
                <c:pt idx="0">
                  <c:v>2013год</c:v>
                </c:pt>
              </c:strCache>
            </c:strRef>
          </c:tx>
          <c:dLbls>
            <c:txPr>
              <a:bodyPr/>
              <a:lstStyle/>
              <a:p>
                <a:pPr>
                  <a:defRPr sz="1400" baseline="0"/>
                </a:pPr>
                <a:endParaRPr lang="ru-RU"/>
              </a:p>
            </c:txPr>
            <c:showVal val="1"/>
          </c:dLbls>
          <c:cat>
            <c:strRef>
              <c:f>'2017год'!$B$313:$D$313</c:f>
              <c:strCache>
                <c:ptCount val="3"/>
                <c:pt idx="0">
                  <c:v>Всего</c:v>
                </c:pt>
                <c:pt idx="1">
                  <c:v>Дано  заключений  по  делу   в  целях  защиты  прав  потребителей</c:v>
                </c:pt>
                <c:pt idx="2">
                  <c:v>подано  исков  в  защиту  потребителей</c:v>
                </c:pt>
              </c:strCache>
            </c:strRef>
          </c:cat>
          <c:val>
            <c:numRef>
              <c:f>'2017год'!$B$314:$D$314</c:f>
              <c:numCache>
                <c:formatCode>General</c:formatCode>
                <c:ptCount val="3"/>
                <c:pt idx="0">
                  <c:v>193</c:v>
                </c:pt>
                <c:pt idx="1">
                  <c:v>149</c:v>
                </c:pt>
                <c:pt idx="2">
                  <c:v>44</c:v>
                </c:pt>
              </c:numCache>
            </c:numRef>
          </c:val>
        </c:ser>
        <c:ser>
          <c:idx val="1"/>
          <c:order val="1"/>
          <c:tx>
            <c:strRef>
              <c:f>'2017год'!$A$315</c:f>
              <c:strCache>
                <c:ptCount val="1"/>
                <c:pt idx="0">
                  <c:v>2014год</c:v>
                </c:pt>
              </c:strCache>
            </c:strRef>
          </c:tx>
          <c:dLbls>
            <c:txPr>
              <a:bodyPr/>
              <a:lstStyle/>
              <a:p>
                <a:pPr>
                  <a:defRPr sz="1400" baseline="0"/>
                </a:pPr>
                <a:endParaRPr lang="ru-RU"/>
              </a:p>
            </c:txPr>
            <c:showVal val="1"/>
          </c:dLbls>
          <c:cat>
            <c:strRef>
              <c:f>'2017год'!$B$313:$D$313</c:f>
              <c:strCache>
                <c:ptCount val="3"/>
                <c:pt idx="0">
                  <c:v>Всего</c:v>
                </c:pt>
                <c:pt idx="1">
                  <c:v>Дано  заключений  по  делу   в  целях  защиты  прав  потребителей</c:v>
                </c:pt>
                <c:pt idx="2">
                  <c:v>подано  исков  в  защиту  потребителей</c:v>
                </c:pt>
              </c:strCache>
            </c:strRef>
          </c:cat>
          <c:val>
            <c:numRef>
              <c:f>'2017год'!$B$315:$D$315</c:f>
              <c:numCache>
                <c:formatCode>General</c:formatCode>
                <c:ptCount val="3"/>
                <c:pt idx="0">
                  <c:v>163</c:v>
                </c:pt>
                <c:pt idx="1">
                  <c:v>127</c:v>
                </c:pt>
                <c:pt idx="2">
                  <c:v>36</c:v>
                </c:pt>
              </c:numCache>
            </c:numRef>
          </c:val>
        </c:ser>
        <c:ser>
          <c:idx val="2"/>
          <c:order val="2"/>
          <c:tx>
            <c:strRef>
              <c:f>'2017год'!$A$316</c:f>
              <c:strCache>
                <c:ptCount val="1"/>
                <c:pt idx="0">
                  <c:v>2015год</c:v>
                </c:pt>
              </c:strCache>
            </c:strRef>
          </c:tx>
          <c:dLbls>
            <c:txPr>
              <a:bodyPr/>
              <a:lstStyle/>
              <a:p>
                <a:pPr>
                  <a:defRPr sz="1400" baseline="0"/>
                </a:pPr>
                <a:endParaRPr lang="ru-RU"/>
              </a:p>
            </c:txPr>
            <c:showVal val="1"/>
          </c:dLbls>
          <c:cat>
            <c:strRef>
              <c:f>'2017год'!$B$313:$D$313</c:f>
              <c:strCache>
                <c:ptCount val="3"/>
                <c:pt idx="0">
                  <c:v>Всего</c:v>
                </c:pt>
                <c:pt idx="1">
                  <c:v>Дано  заключений  по  делу   в  целях  защиты  прав  потребителей</c:v>
                </c:pt>
                <c:pt idx="2">
                  <c:v>подано  исков  в  защиту  потребителей</c:v>
                </c:pt>
              </c:strCache>
            </c:strRef>
          </c:cat>
          <c:val>
            <c:numRef>
              <c:f>'2017год'!$B$316:$D$316</c:f>
              <c:numCache>
                <c:formatCode>General</c:formatCode>
                <c:ptCount val="3"/>
                <c:pt idx="0">
                  <c:v>147</c:v>
                </c:pt>
                <c:pt idx="1">
                  <c:v>128</c:v>
                </c:pt>
                <c:pt idx="2">
                  <c:v>19</c:v>
                </c:pt>
              </c:numCache>
            </c:numRef>
          </c:val>
        </c:ser>
        <c:ser>
          <c:idx val="3"/>
          <c:order val="3"/>
          <c:tx>
            <c:strRef>
              <c:f>'2017год'!$A$317</c:f>
              <c:strCache>
                <c:ptCount val="1"/>
                <c:pt idx="0">
                  <c:v>2016год</c:v>
                </c:pt>
              </c:strCache>
            </c:strRef>
          </c:tx>
          <c:dLbls>
            <c:txPr>
              <a:bodyPr/>
              <a:lstStyle/>
              <a:p>
                <a:pPr>
                  <a:defRPr sz="1400" baseline="0"/>
                </a:pPr>
                <a:endParaRPr lang="ru-RU"/>
              </a:p>
            </c:txPr>
            <c:showVal val="1"/>
          </c:dLbls>
          <c:cat>
            <c:strRef>
              <c:f>'2017год'!$B$313:$D$313</c:f>
              <c:strCache>
                <c:ptCount val="3"/>
                <c:pt idx="0">
                  <c:v>Всего</c:v>
                </c:pt>
                <c:pt idx="1">
                  <c:v>Дано  заключений  по  делу   в  целях  защиты  прав  потребителей</c:v>
                </c:pt>
                <c:pt idx="2">
                  <c:v>подано  исков  в  защиту  потребителей</c:v>
                </c:pt>
              </c:strCache>
            </c:strRef>
          </c:cat>
          <c:val>
            <c:numRef>
              <c:f>'2017год'!$B$317:$D$317</c:f>
              <c:numCache>
                <c:formatCode>General</c:formatCode>
                <c:ptCount val="3"/>
                <c:pt idx="0">
                  <c:v>116</c:v>
                </c:pt>
                <c:pt idx="1">
                  <c:v>68</c:v>
                </c:pt>
                <c:pt idx="2">
                  <c:v>48</c:v>
                </c:pt>
              </c:numCache>
            </c:numRef>
          </c:val>
        </c:ser>
        <c:ser>
          <c:idx val="4"/>
          <c:order val="4"/>
          <c:tx>
            <c:strRef>
              <c:f>'2017год'!$A$318</c:f>
              <c:strCache>
                <c:ptCount val="1"/>
                <c:pt idx="0">
                  <c:v>2017год</c:v>
                </c:pt>
              </c:strCache>
            </c:strRef>
          </c:tx>
          <c:dLbls>
            <c:txPr>
              <a:bodyPr/>
              <a:lstStyle/>
              <a:p>
                <a:pPr>
                  <a:defRPr sz="1400" baseline="0"/>
                </a:pPr>
                <a:endParaRPr lang="ru-RU"/>
              </a:p>
            </c:txPr>
            <c:showVal val="1"/>
          </c:dLbls>
          <c:cat>
            <c:strRef>
              <c:f>'2017год'!$B$313:$D$313</c:f>
              <c:strCache>
                <c:ptCount val="3"/>
                <c:pt idx="0">
                  <c:v>Всего</c:v>
                </c:pt>
                <c:pt idx="1">
                  <c:v>Дано  заключений  по  делу   в  целях  защиты  прав  потребителей</c:v>
                </c:pt>
                <c:pt idx="2">
                  <c:v>подано  исков  в  защиту  потребителей</c:v>
                </c:pt>
              </c:strCache>
            </c:strRef>
          </c:cat>
          <c:val>
            <c:numRef>
              <c:f>'2017год'!$B$318:$D$318</c:f>
              <c:numCache>
                <c:formatCode>General</c:formatCode>
                <c:ptCount val="3"/>
                <c:pt idx="0">
                  <c:v>108</c:v>
                </c:pt>
                <c:pt idx="1">
                  <c:v>61</c:v>
                </c:pt>
                <c:pt idx="2">
                  <c:v>47</c:v>
                </c:pt>
              </c:numCache>
            </c:numRef>
          </c:val>
        </c:ser>
        <c:shape val="pyramid"/>
        <c:axId val="93840896"/>
        <c:axId val="93842432"/>
        <c:axId val="0"/>
      </c:bar3DChart>
      <c:catAx>
        <c:axId val="93840896"/>
        <c:scaling>
          <c:orientation val="minMax"/>
        </c:scaling>
        <c:axPos val="b"/>
        <c:numFmt formatCode="General" sourceLinked="1"/>
        <c:tickLblPos val="nextTo"/>
        <c:txPr>
          <a:bodyPr/>
          <a:lstStyle/>
          <a:p>
            <a:pPr>
              <a:defRPr sz="1200" baseline="0"/>
            </a:pPr>
            <a:endParaRPr lang="ru-RU"/>
          </a:p>
        </c:txPr>
        <c:crossAx val="93842432"/>
        <c:crosses val="autoZero"/>
        <c:auto val="1"/>
        <c:lblAlgn val="ctr"/>
        <c:lblOffset val="100"/>
      </c:catAx>
      <c:valAx>
        <c:axId val="93842432"/>
        <c:scaling>
          <c:orientation val="minMax"/>
        </c:scaling>
        <c:delete val="1"/>
        <c:axPos val="l"/>
        <c:numFmt formatCode="General" sourceLinked="1"/>
        <c:tickLblPos val="none"/>
        <c:crossAx val="93840896"/>
        <c:crosses val="autoZero"/>
        <c:crossBetween val="between"/>
      </c:valAx>
      <c:spPr>
        <a:noFill/>
        <a:ln w="25396">
          <a:noFill/>
        </a:ln>
      </c:spPr>
    </c:plotArea>
    <c:legend>
      <c:legendPos val="b"/>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798" b="1" i="1" u="none" strike="noStrike" kern="1200" baseline="0">
                <a:solidFill>
                  <a:schemeClr val="accent6">
                    <a:lumMod val="50000"/>
                  </a:schemeClr>
                </a:solidFill>
                <a:latin typeface="+mn-lt"/>
                <a:ea typeface="+mn-ea"/>
                <a:cs typeface="+mn-cs"/>
              </a:defRPr>
            </a:pPr>
            <a:r>
              <a:rPr lang="ru-RU" i="1">
                <a:solidFill>
                  <a:schemeClr val="accent6">
                    <a:lumMod val="50000"/>
                  </a:schemeClr>
                </a:solidFill>
              </a:rPr>
              <a:t>Реультаты исследования стеклоомывающей жидкости</a:t>
            </a:r>
          </a:p>
        </c:rich>
      </c:tx>
      <c:layout>
        <c:manualLayout>
          <c:xMode val="edge"/>
          <c:yMode val="edge"/>
          <c:x val="0.31223601498211301"/>
          <c:y val="0"/>
        </c:manualLayout>
      </c:layout>
      <c:spPr>
        <a:noFill/>
        <a:ln w="25378">
          <a:noFill/>
        </a:ln>
      </c:spPr>
    </c:title>
    <c:view3D>
      <c:rotX val="50"/>
      <c:perspective val="0"/>
    </c:view3D>
    <c:plotArea>
      <c:layout>
        <c:manualLayout>
          <c:layoutTarget val="inner"/>
          <c:xMode val="edge"/>
          <c:yMode val="edge"/>
          <c:x val="3.7296037296037296E-2"/>
          <c:y val="0.27266145432680966"/>
          <c:w val="0.72780518693904539"/>
          <c:h val="0.69012924940417963"/>
        </c:manualLayout>
      </c:layout>
      <c:pie3DChart>
        <c:varyColors val="1"/>
        <c:ser>
          <c:idx val="0"/>
          <c:order val="0"/>
          <c:dPt>
            <c:idx val="0"/>
            <c:spPr>
              <a:solidFill>
                <a:schemeClr val="accent6">
                  <a:lumMod val="40000"/>
                  <a:lumOff val="60000"/>
                </a:schemeClr>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Lbls>
            <c:dLbl>
              <c:idx val="0"/>
              <c:layout>
                <c:manualLayout>
                  <c:x val="5.3261592300962377E-2"/>
                  <c:y val="-0.36367526975794717"/>
                </c:manualLayout>
              </c:layout>
              <c:dLblPos val="bestFit"/>
              <c:showVal val="1"/>
            </c:dLbl>
            <c:dLbl>
              <c:idx val="1"/>
              <c:layout>
                <c:manualLayout>
                  <c:x val="3.0670851458252997E-2"/>
                  <c:y val="7.6246503286495626E-2"/>
                </c:manualLayout>
              </c:layout>
              <c:dLblPos val="bestFit"/>
              <c:showVal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99" b="1" i="0" u="none" strike="noStrike" kern="1200" baseline="0">
                    <a:solidFill>
                      <a:schemeClr val="lt1"/>
                    </a:solidFill>
                    <a:latin typeface="+mn-lt"/>
                    <a:ea typeface="+mn-ea"/>
                    <a:cs typeface="+mn-cs"/>
                  </a:defRPr>
                </a:pPr>
                <a:endParaRPr lang="ru-RU"/>
              </a:p>
            </c:txPr>
            <c:dLblPos val="ctr"/>
            <c:showPercent val="1"/>
            <c:showLeaderLines val="1"/>
            <c:leaderLines>
              <c:spPr>
                <a:ln w="9517">
                  <a:solidFill>
                    <a:schemeClr val="dk1">
                      <a:lumMod val="50000"/>
                      <a:lumOff val="50000"/>
                    </a:schemeClr>
                  </a:solidFill>
                </a:ln>
                <a:effectLst/>
              </c:spPr>
            </c:leaderLines>
          </c:dLbls>
          <c:cat>
            <c:strRef>
              <c:f>Лист1!$A$1:$A$2</c:f>
              <c:strCache>
                <c:ptCount val="2"/>
                <c:pt idx="0">
                  <c:v>Исследовано всего</c:v>
                </c:pt>
                <c:pt idx="1">
                  <c:v>Выявлено </c:v>
                </c:pt>
              </c:strCache>
            </c:strRef>
          </c:cat>
          <c:val>
            <c:numRef>
              <c:f>Лист1!$B$1:$B$2</c:f>
              <c:numCache>
                <c:formatCode>General</c:formatCode>
                <c:ptCount val="2"/>
                <c:pt idx="0">
                  <c:v>24</c:v>
                </c:pt>
                <c:pt idx="1">
                  <c:v>2</c:v>
                </c:pt>
              </c:numCache>
            </c:numRef>
          </c:val>
        </c:ser>
      </c:pie3DChart>
      <c:spPr>
        <a:noFill/>
        <a:ln w="25378">
          <a:noFill/>
        </a:ln>
      </c:spPr>
    </c:plotArea>
    <c:legend>
      <c:legendPos val="r"/>
      <c:layout>
        <c:manualLayout>
          <c:xMode val="edge"/>
          <c:yMode val="edge"/>
          <c:x val="0.74179112842211481"/>
          <c:y val="0.39085234537990476"/>
          <c:w val="0.24422282623924652"/>
          <c:h val="0.28837303990847307"/>
        </c:manualLayout>
      </c:layout>
      <c:spPr>
        <a:solidFill>
          <a:schemeClr val="lt1">
            <a:lumMod val="95000"/>
            <a:alpha val="39000"/>
          </a:schemeClr>
        </a:solidFill>
        <a:ln>
          <a:noFill/>
        </a:ln>
        <a:effectLst/>
      </c:spPr>
      <c:txPr>
        <a:bodyPr rot="0" spcFirstLastPara="1" vertOverflow="ellipsis" vert="horz" wrap="square" anchor="ctr" anchorCtr="1"/>
        <a:lstStyle/>
        <a:p>
          <a:pPr>
            <a:defRPr sz="1199"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7"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txPr>
              <a:bodyPr/>
              <a:lstStyle/>
              <a:p>
                <a:pPr>
                  <a:defRPr sz="1399" baseline="0"/>
                </a:pPr>
                <a:endParaRPr lang="ru-RU"/>
              </a:p>
            </c:txPr>
            <c:showVal val="1"/>
            <c:showLeaderLines val="1"/>
          </c:dLbls>
          <c:cat>
            <c:strRef>
              <c:f>'2017год'!$A$149:$B$149</c:f>
              <c:strCache>
                <c:ptCount val="2"/>
                <c:pt idx="0">
                  <c:v>в сфере розничной торговли</c:v>
                </c:pt>
                <c:pt idx="1">
                  <c:v>в сфере услуг</c:v>
                </c:pt>
              </c:strCache>
            </c:strRef>
          </c:cat>
          <c:val>
            <c:numRef>
              <c:f>'2017год'!$A$150:$B$150</c:f>
              <c:numCache>
                <c:formatCode>General</c:formatCode>
                <c:ptCount val="2"/>
                <c:pt idx="0">
                  <c:v>91</c:v>
                </c:pt>
                <c:pt idx="1">
                  <c:v>9</c:v>
                </c:pt>
              </c:numCache>
            </c:numRef>
          </c:val>
        </c:ser>
      </c:pie3DChart>
      <c:spPr>
        <a:noFill/>
        <a:ln w="25382">
          <a:noFill/>
        </a:ln>
      </c:spPr>
    </c:plotArea>
    <c:legend>
      <c:legendPos val="r"/>
      <c:txPr>
        <a:bodyPr/>
        <a:lstStyle/>
        <a:p>
          <a:pPr>
            <a:defRPr sz="1199" baseline="0"/>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'2017год'!$A$176</c:f>
              <c:strCache>
                <c:ptCount val="1"/>
                <c:pt idx="0">
                  <c:v>2013год</c:v>
                </c:pt>
              </c:strCache>
            </c:strRef>
          </c:tx>
          <c:dLbls>
            <c:showVal val="1"/>
          </c:dLbls>
          <c:cat>
            <c:strRef>
              <c:f>'2017год'!$B$175:$G$175</c:f>
              <c:strCache>
                <c:ptCount val="6"/>
                <c:pt idx="0">
                  <c:v>ЖКХ</c:v>
                </c:pt>
                <c:pt idx="1">
                  <c:v>Туристические  услуги</c:v>
                </c:pt>
                <c:pt idx="2">
                  <c:v>медицинские  услуги</c:v>
                </c:pt>
                <c:pt idx="3">
                  <c:v>услуги  связи</c:v>
                </c:pt>
                <c:pt idx="4">
                  <c:v>транспортные  услуги</c:v>
                </c:pt>
                <c:pt idx="5">
                  <c:v>финансовые  услуги</c:v>
                </c:pt>
              </c:strCache>
            </c:strRef>
          </c:cat>
          <c:val>
            <c:numRef>
              <c:f>'2017год'!$B$176:$G$176</c:f>
              <c:numCache>
                <c:formatCode>0</c:formatCode>
                <c:ptCount val="6"/>
                <c:pt idx="0">
                  <c:v>54</c:v>
                </c:pt>
                <c:pt idx="1">
                  <c:v>86</c:v>
                </c:pt>
                <c:pt idx="2">
                  <c:v>65</c:v>
                </c:pt>
                <c:pt idx="3">
                  <c:v>43</c:v>
                </c:pt>
                <c:pt idx="4">
                  <c:v>56</c:v>
                </c:pt>
                <c:pt idx="5">
                  <c:v>60</c:v>
                </c:pt>
              </c:numCache>
            </c:numRef>
          </c:val>
        </c:ser>
        <c:ser>
          <c:idx val="1"/>
          <c:order val="1"/>
          <c:tx>
            <c:strRef>
              <c:f>'2017год'!$A$177</c:f>
              <c:strCache>
                <c:ptCount val="1"/>
                <c:pt idx="0">
                  <c:v>2014год</c:v>
                </c:pt>
              </c:strCache>
            </c:strRef>
          </c:tx>
          <c:dLbls>
            <c:showVal val="1"/>
          </c:dLbls>
          <c:cat>
            <c:strRef>
              <c:f>'2017год'!$B$175:$G$175</c:f>
              <c:strCache>
                <c:ptCount val="6"/>
                <c:pt idx="0">
                  <c:v>ЖКХ</c:v>
                </c:pt>
                <c:pt idx="1">
                  <c:v>Туристические  услуги</c:v>
                </c:pt>
                <c:pt idx="2">
                  <c:v>медицинские  услуги</c:v>
                </c:pt>
                <c:pt idx="3">
                  <c:v>услуги  связи</c:v>
                </c:pt>
                <c:pt idx="4">
                  <c:v>транспортные  услуги</c:v>
                </c:pt>
                <c:pt idx="5">
                  <c:v>финансовые  услуги</c:v>
                </c:pt>
              </c:strCache>
            </c:strRef>
          </c:cat>
          <c:val>
            <c:numRef>
              <c:f>'2017год'!$B$177:$G$177</c:f>
              <c:numCache>
                <c:formatCode>0</c:formatCode>
                <c:ptCount val="6"/>
                <c:pt idx="0">
                  <c:v>87</c:v>
                </c:pt>
                <c:pt idx="1">
                  <c:v>69</c:v>
                </c:pt>
                <c:pt idx="2">
                  <c:v>73</c:v>
                </c:pt>
                <c:pt idx="3">
                  <c:v>13</c:v>
                </c:pt>
                <c:pt idx="4">
                  <c:v>57</c:v>
                </c:pt>
                <c:pt idx="5">
                  <c:v>40</c:v>
                </c:pt>
              </c:numCache>
            </c:numRef>
          </c:val>
        </c:ser>
        <c:ser>
          <c:idx val="2"/>
          <c:order val="2"/>
          <c:tx>
            <c:strRef>
              <c:f>'2017год'!$A$178</c:f>
              <c:strCache>
                <c:ptCount val="1"/>
                <c:pt idx="0">
                  <c:v>2015год</c:v>
                </c:pt>
              </c:strCache>
            </c:strRef>
          </c:tx>
          <c:dLbls>
            <c:showVal val="1"/>
          </c:dLbls>
          <c:cat>
            <c:strRef>
              <c:f>'2017год'!$B$175:$G$175</c:f>
              <c:strCache>
                <c:ptCount val="6"/>
                <c:pt idx="0">
                  <c:v>ЖКХ</c:v>
                </c:pt>
                <c:pt idx="1">
                  <c:v>Туристические  услуги</c:v>
                </c:pt>
                <c:pt idx="2">
                  <c:v>медицинские  услуги</c:v>
                </c:pt>
                <c:pt idx="3">
                  <c:v>услуги  связи</c:v>
                </c:pt>
                <c:pt idx="4">
                  <c:v>транспортные  услуги</c:v>
                </c:pt>
                <c:pt idx="5">
                  <c:v>финансовые  услуги</c:v>
                </c:pt>
              </c:strCache>
            </c:strRef>
          </c:cat>
          <c:val>
            <c:numRef>
              <c:f>'2017год'!$B$178:$G$178</c:f>
              <c:numCache>
                <c:formatCode>0</c:formatCode>
                <c:ptCount val="6"/>
                <c:pt idx="0">
                  <c:v>10</c:v>
                </c:pt>
                <c:pt idx="1">
                  <c:v>16</c:v>
                </c:pt>
                <c:pt idx="2">
                  <c:v>78</c:v>
                </c:pt>
                <c:pt idx="3">
                  <c:v>27</c:v>
                </c:pt>
                <c:pt idx="4">
                  <c:v>0</c:v>
                </c:pt>
                <c:pt idx="5">
                  <c:v>40</c:v>
                </c:pt>
              </c:numCache>
            </c:numRef>
          </c:val>
        </c:ser>
        <c:ser>
          <c:idx val="3"/>
          <c:order val="3"/>
          <c:tx>
            <c:strRef>
              <c:f>'2017год'!$A$179</c:f>
              <c:strCache>
                <c:ptCount val="1"/>
                <c:pt idx="0">
                  <c:v>2016год</c:v>
                </c:pt>
              </c:strCache>
            </c:strRef>
          </c:tx>
          <c:dLbls>
            <c:showVal val="1"/>
          </c:dLbls>
          <c:cat>
            <c:strRef>
              <c:f>'2017год'!$B$175:$G$175</c:f>
              <c:strCache>
                <c:ptCount val="6"/>
                <c:pt idx="0">
                  <c:v>ЖКХ</c:v>
                </c:pt>
                <c:pt idx="1">
                  <c:v>Туристические  услуги</c:v>
                </c:pt>
                <c:pt idx="2">
                  <c:v>медицинские  услуги</c:v>
                </c:pt>
                <c:pt idx="3">
                  <c:v>услуги  связи</c:v>
                </c:pt>
                <c:pt idx="4">
                  <c:v>транспортные  услуги</c:v>
                </c:pt>
                <c:pt idx="5">
                  <c:v>финансовые  услуги</c:v>
                </c:pt>
              </c:strCache>
            </c:strRef>
          </c:cat>
          <c:val>
            <c:numRef>
              <c:f>'2017год'!$B$179:$G$179</c:f>
              <c:numCache>
                <c:formatCode>0</c:formatCode>
                <c:ptCount val="6"/>
                <c:pt idx="0">
                  <c:v>59</c:v>
                </c:pt>
                <c:pt idx="1">
                  <c:v>0</c:v>
                </c:pt>
                <c:pt idx="2">
                  <c:v>93</c:v>
                </c:pt>
                <c:pt idx="3">
                  <c:v>0</c:v>
                </c:pt>
                <c:pt idx="4">
                  <c:v>50</c:v>
                </c:pt>
                <c:pt idx="5">
                  <c:v>18</c:v>
                </c:pt>
              </c:numCache>
            </c:numRef>
          </c:val>
        </c:ser>
        <c:ser>
          <c:idx val="4"/>
          <c:order val="4"/>
          <c:tx>
            <c:strRef>
              <c:f>'2017год'!$A$180</c:f>
              <c:strCache>
                <c:ptCount val="1"/>
                <c:pt idx="0">
                  <c:v>2017год</c:v>
                </c:pt>
              </c:strCache>
            </c:strRef>
          </c:tx>
          <c:dLbls>
            <c:showVal val="1"/>
          </c:dLbls>
          <c:cat>
            <c:strRef>
              <c:f>'2017год'!$B$175:$G$175</c:f>
              <c:strCache>
                <c:ptCount val="6"/>
                <c:pt idx="0">
                  <c:v>ЖКХ</c:v>
                </c:pt>
                <c:pt idx="1">
                  <c:v>Туристические  услуги</c:v>
                </c:pt>
                <c:pt idx="2">
                  <c:v>медицинские  услуги</c:v>
                </c:pt>
                <c:pt idx="3">
                  <c:v>услуги  связи</c:v>
                </c:pt>
                <c:pt idx="4">
                  <c:v>транспортные  услуги</c:v>
                </c:pt>
                <c:pt idx="5">
                  <c:v>финансовые  услуги</c:v>
                </c:pt>
              </c:strCache>
            </c:strRef>
          </c:cat>
          <c:val>
            <c:numRef>
              <c:f>'2017год'!$B$180:$G$180</c:f>
              <c:numCache>
                <c:formatCode>0</c:formatCode>
                <c:ptCount val="6"/>
                <c:pt idx="0">
                  <c:v>58</c:v>
                </c:pt>
                <c:pt idx="1">
                  <c:v>0</c:v>
                </c:pt>
                <c:pt idx="2">
                  <c:v>92</c:v>
                </c:pt>
                <c:pt idx="3">
                  <c:v>0</c:v>
                </c:pt>
                <c:pt idx="4">
                  <c:v>100</c:v>
                </c:pt>
                <c:pt idx="5">
                  <c:v>33</c:v>
                </c:pt>
              </c:numCache>
            </c:numRef>
          </c:val>
        </c:ser>
        <c:axId val="90458368"/>
        <c:axId val="90468352"/>
      </c:barChart>
      <c:catAx>
        <c:axId val="90458368"/>
        <c:scaling>
          <c:orientation val="minMax"/>
        </c:scaling>
        <c:axPos val="l"/>
        <c:numFmt formatCode="0.00%" sourceLinked="1"/>
        <c:tickLblPos val="nextTo"/>
        <c:txPr>
          <a:bodyPr/>
          <a:lstStyle/>
          <a:p>
            <a:pPr>
              <a:defRPr sz="1200" baseline="0"/>
            </a:pPr>
            <a:endParaRPr lang="ru-RU"/>
          </a:p>
        </c:txPr>
        <c:crossAx val="90468352"/>
        <c:crosses val="autoZero"/>
        <c:auto val="1"/>
        <c:lblAlgn val="ctr"/>
        <c:lblOffset val="100"/>
      </c:catAx>
      <c:valAx>
        <c:axId val="90468352"/>
        <c:scaling>
          <c:orientation val="minMax"/>
        </c:scaling>
        <c:axPos val="b"/>
        <c:majorGridlines/>
        <c:numFmt formatCode="0" sourceLinked="1"/>
        <c:tickLblPos val="nextTo"/>
        <c:crossAx val="90458368"/>
        <c:crosses val="autoZero"/>
        <c:crossBetween val="between"/>
      </c:valAx>
    </c:plotArea>
    <c:legend>
      <c:legendPos val="r"/>
      <c:txPr>
        <a:bodyPr/>
        <a:lstStyle/>
        <a:p>
          <a:pPr>
            <a:defRPr sz="1200" baseline="0"/>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percentStacked"/>
        <c:ser>
          <c:idx val="0"/>
          <c:order val="0"/>
          <c:tx>
            <c:strRef>
              <c:f>'2017год'!$B$199</c:f>
              <c:strCache>
                <c:ptCount val="1"/>
                <c:pt idx="0">
                  <c:v>Обращения  по  вопросам  защиты  прав  потребителей</c:v>
                </c:pt>
              </c:strCache>
            </c:strRef>
          </c:tx>
          <c:dLbls>
            <c:txPr>
              <a:bodyPr/>
              <a:lstStyle/>
              <a:p>
                <a:pPr>
                  <a:defRPr sz="1042" baseline="0"/>
                </a:pPr>
                <a:endParaRPr lang="ru-RU"/>
              </a:p>
            </c:txPr>
            <c:showVal val="1"/>
          </c:dLbls>
          <c:cat>
            <c:strRef>
              <c:f>'2017год'!$A$200:$A$204</c:f>
              <c:strCache>
                <c:ptCount val="5"/>
                <c:pt idx="0">
                  <c:v>2013год</c:v>
                </c:pt>
                <c:pt idx="1">
                  <c:v>2014год</c:v>
                </c:pt>
                <c:pt idx="2">
                  <c:v>2015год</c:v>
                </c:pt>
                <c:pt idx="3">
                  <c:v>2016год</c:v>
                </c:pt>
                <c:pt idx="4">
                  <c:v>2017год</c:v>
                </c:pt>
              </c:strCache>
            </c:strRef>
          </c:cat>
          <c:val>
            <c:numRef>
              <c:f>'2017год'!$B$200:$B$204</c:f>
              <c:numCache>
                <c:formatCode>General</c:formatCode>
                <c:ptCount val="5"/>
                <c:pt idx="0">
                  <c:v>61</c:v>
                </c:pt>
                <c:pt idx="1">
                  <c:v>60</c:v>
                </c:pt>
                <c:pt idx="2">
                  <c:v>61</c:v>
                </c:pt>
                <c:pt idx="3">
                  <c:v>63</c:v>
                </c:pt>
                <c:pt idx="4">
                  <c:v>62</c:v>
                </c:pt>
              </c:numCache>
            </c:numRef>
          </c:val>
        </c:ser>
        <c:ser>
          <c:idx val="1"/>
          <c:order val="1"/>
          <c:tx>
            <c:strRef>
              <c:f>'2017год'!$C$199</c:f>
              <c:strCache>
                <c:ptCount val="1"/>
                <c:pt idx="0">
                  <c:v>Обращения по  вопросам  санэпидблагополучия</c:v>
                </c:pt>
              </c:strCache>
            </c:strRef>
          </c:tx>
          <c:dLbls>
            <c:txPr>
              <a:bodyPr/>
              <a:lstStyle/>
              <a:p>
                <a:pPr>
                  <a:defRPr sz="1042" baseline="0"/>
                </a:pPr>
                <a:endParaRPr lang="ru-RU"/>
              </a:p>
            </c:txPr>
            <c:showVal val="1"/>
          </c:dLbls>
          <c:cat>
            <c:strRef>
              <c:f>'2017год'!$A$200:$A$204</c:f>
              <c:strCache>
                <c:ptCount val="5"/>
                <c:pt idx="0">
                  <c:v>2013год</c:v>
                </c:pt>
                <c:pt idx="1">
                  <c:v>2014год</c:v>
                </c:pt>
                <c:pt idx="2">
                  <c:v>2015год</c:v>
                </c:pt>
                <c:pt idx="3">
                  <c:v>2016год</c:v>
                </c:pt>
                <c:pt idx="4">
                  <c:v>2017год</c:v>
                </c:pt>
              </c:strCache>
            </c:strRef>
          </c:cat>
          <c:val>
            <c:numRef>
              <c:f>'2017год'!$C$200:$C$204</c:f>
              <c:numCache>
                <c:formatCode>General</c:formatCode>
                <c:ptCount val="5"/>
                <c:pt idx="0">
                  <c:v>39</c:v>
                </c:pt>
                <c:pt idx="1">
                  <c:v>40</c:v>
                </c:pt>
                <c:pt idx="2">
                  <c:v>39</c:v>
                </c:pt>
                <c:pt idx="3">
                  <c:v>37</c:v>
                </c:pt>
                <c:pt idx="4">
                  <c:v>38</c:v>
                </c:pt>
              </c:numCache>
            </c:numRef>
          </c:val>
        </c:ser>
        <c:shape val="cylinder"/>
        <c:axId val="92284032"/>
        <c:axId val="92285568"/>
        <c:axId val="0"/>
      </c:bar3DChart>
      <c:catAx>
        <c:axId val="92284032"/>
        <c:scaling>
          <c:orientation val="minMax"/>
        </c:scaling>
        <c:axPos val="b"/>
        <c:numFmt formatCode="General" sourceLinked="1"/>
        <c:tickLblPos val="nextTo"/>
        <c:txPr>
          <a:bodyPr/>
          <a:lstStyle/>
          <a:p>
            <a:pPr>
              <a:defRPr sz="894" baseline="0"/>
            </a:pPr>
            <a:endParaRPr lang="ru-RU"/>
          </a:p>
        </c:txPr>
        <c:crossAx val="92285568"/>
        <c:crosses val="autoZero"/>
        <c:auto val="1"/>
        <c:lblAlgn val="ctr"/>
        <c:lblOffset val="100"/>
      </c:catAx>
      <c:valAx>
        <c:axId val="92285568"/>
        <c:scaling>
          <c:orientation val="minMax"/>
        </c:scaling>
        <c:delete val="1"/>
        <c:axPos val="l"/>
        <c:numFmt formatCode="0%" sourceLinked="1"/>
        <c:tickLblPos val="none"/>
        <c:crossAx val="92284032"/>
        <c:crosses val="autoZero"/>
        <c:crossBetween val="between"/>
      </c:valAx>
      <c:spPr>
        <a:noFill/>
        <a:ln w="18913">
          <a:noFill/>
        </a:ln>
      </c:spPr>
    </c:plotArea>
    <c:legend>
      <c:legendPos val="b"/>
      <c:txPr>
        <a:bodyPr/>
        <a:lstStyle/>
        <a:p>
          <a:pPr>
            <a:defRPr sz="894" baseline="0"/>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'2017год'!$B$218</c:f>
              <c:strCache>
                <c:ptCount val="1"/>
                <c:pt idx="0">
                  <c:v>Всего  обращений</c:v>
                </c:pt>
              </c:strCache>
            </c:strRef>
          </c:tx>
          <c:dLbls>
            <c:dLbl>
              <c:idx val="0"/>
              <c:layout>
                <c:manualLayout>
                  <c:x val="-4.3602983362019496E-2"/>
                  <c:y val="-5.1467625166756882E-2"/>
                </c:manualLayout>
              </c:layout>
              <c:dLblPos val="r"/>
              <c:showVal val="1"/>
            </c:dLbl>
            <c:dLbl>
              <c:idx val="1"/>
              <c:layout>
                <c:manualLayout>
                  <c:x val="-4.8192771084337387E-2"/>
                  <c:y val="-5.1467625166756882E-2"/>
                </c:manualLayout>
              </c:layout>
              <c:dLblPos val="r"/>
              <c:showVal val="1"/>
            </c:dLbl>
            <c:dLbl>
              <c:idx val="2"/>
              <c:layout>
                <c:manualLayout>
                  <c:x val="-6.1962134251290935E-2"/>
                  <c:y val="-4.8250898593834551E-2"/>
                </c:manualLayout>
              </c:layout>
              <c:dLblPos val="r"/>
              <c:showVal val="1"/>
            </c:dLbl>
            <c:dLbl>
              <c:idx val="3"/>
              <c:layout>
                <c:manualLayout>
                  <c:x val="-6.6551921973608721E-2"/>
                  <c:y val="-5.4684351739679185E-2"/>
                </c:manualLayout>
              </c:layout>
              <c:dLblPos val="r"/>
              <c:showVal val="1"/>
            </c:dLbl>
            <c:dLbl>
              <c:idx val="4"/>
              <c:layout>
                <c:manualLayout>
                  <c:x val="-5.2782558806655125E-2"/>
                  <c:y val="-4.8250898593834537E-2"/>
                </c:manualLayout>
              </c:layout>
              <c:dLblPos val="r"/>
              <c:showVal val="1"/>
            </c:dLbl>
            <c:txPr>
              <a:bodyPr/>
              <a:lstStyle/>
              <a:p>
                <a:pPr>
                  <a:defRPr sz="1399" baseline="0"/>
                </a:pPr>
                <a:endParaRPr lang="ru-RU"/>
              </a:p>
            </c:txPr>
            <c:showVal val="1"/>
          </c:dLbls>
          <c:cat>
            <c:strRef>
              <c:f>'2017год'!$A$219:$A$223</c:f>
              <c:strCache>
                <c:ptCount val="5"/>
                <c:pt idx="0">
                  <c:v>2013год</c:v>
                </c:pt>
                <c:pt idx="1">
                  <c:v>2014год</c:v>
                </c:pt>
                <c:pt idx="2">
                  <c:v>2015год</c:v>
                </c:pt>
                <c:pt idx="3">
                  <c:v>2016год</c:v>
                </c:pt>
                <c:pt idx="4">
                  <c:v>2017год</c:v>
                </c:pt>
              </c:strCache>
            </c:strRef>
          </c:cat>
          <c:val>
            <c:numRef>
              <c:f>'2017год'!$B$219:$B$223</c:f>
              <c:numCache>
                <c:formatCode>General</c:formatCode>
                <c:ptCount val="5"/>
                <c:pt idx="0">
                  <c:v>1889</c:v>
                </c:pt>
                <c:pt idx="1">
                  <c:v>1773</c:v>
                </c:pt>
                <c:pt idx="2">
                  <c:v>1890</c:v>
                </c:pt>
                <c:pt idx="3">
                  <c:v>2366</c:v>
                </c:pt>
                <c:pt idx="4">
                  <c:v>2436</c:v>
                </c:pt>
              </c:numCache>
            </c:numRef>
          </c:val>
        </c:ser>
        <c:ser>
          <c:idx val="1"/>
          <c:order val="1"/>
          <c:tx>
            <c:strRef>
              <c:f>'2017год'!$C$218</c:f>
              <c:strCache>
                <c:ptCount val="1"/>
                <c:pt idx="0">
                  <c:v>письменных  обращений</c:v>
                </c:pt>
              </c:strCache>
            </c:strRef>
          </c:tx>
          <c:dLbls>
            <c:dLbl>
              <c:idx val="0"/>
              <c:layout>
                <c:manualLayout>
                  <c:x val="-4.8192771084337387E-2"/>
                  <c:y val="-5.7901078312601502E-2"/>
                </c:manualLayout>
              </c:layout>
              <c:dLblPos val="r"/>
              <c:showVal val="1"/>
            </c:dLbl>
            <c:dLbl>
              <c:idx val="1"/>
              <c:layout>
                <c:manualLayout>
                  <c:x val="-5.5077452667814102E-2"/>
                  <c:y val="-6.1117804885523812E-2"/>
                </c:manualLayout>
              </c:layout>
              <c:dLblPos val="r"/>
              <c:showVal val="1"/>
            </c:dLbl>
            <c:dLbl>
              <c:idx val="2"/>
              <c:layout>
                <c:manualLayout>
                  <c:x val="-5.7372346528973092E-2"/>
                  <c:y val="-4.8250898593834551E-2"/>
                </c:manualLayout>
              </c:layout>
              <c:dLblPos val="r"/>
              <c:showVal val="1"/>
            </c:dLbl>
            <c:dLbl>
              <c:idx val="3"/>
              <c:layout>
                <c:manualLayout>
                  <c:x val="-5.5077452667814102E-2"/>
                  <c:y val="-6.7551258031368397E-2"/>
                </c:manualLayout>
              </c:layout>
              <c:dLblPos val="r"/>
              <c:showVal val="1"/>
            </c:dLbl>
            <c:dLbl>
              <c:idx val="4"/>
              <c:layout>
                <c:manualLayout>
                  <c:x val="-5.5077452667814011E-2"/>
                  <c:y val="-7.0767984604290735E-2"/>
                </c:manualLayout>
              </c:layout>
              <c:dLblPos val="r"/>
              <c:showVal val="1"/>
            </c:dLbl>
            <c:txPr>
              <a:bodyPr/>
              <a:lstStyle/>
              <a:p>
                <a:pPr>
                  <a:defRPr sz="1399" baseline="0"/>
                </a:pPr>
                <a:endParaRPr lang="ru-RU"/>
              </a:p>
            </c:txPr>
            <c:showVal val="1"/>
          </c:dLbls>
          <c:cat>
            <c:strRef>
              <c:f>'2017год'!$A$219:$A$223</c:f>
              <c:strCache>
                <c:ptCount val="5"/>
                <c:pt idx="0">
                  <c:v>2013год</c:v>
                </c:pt>
                <c:pt idx="1">
                  <c:v>2014год</c:v>
                </c:pt>
                <c:pt idx="2">
                  <c:v>2015год</c:v>
                </c:pt>
                <c:pt idx="3">
                  <c:v>2016год</c:v>
                </c:pt>
                <c:pt idx="4">
                  <c:v>2017год</c:v>
                </c:pt>
              </c:strCache>
            </c:strRef>
          </c:cat>
          <c:val>
            <c:numRef>
              <c:f>'2017год'!$C$219:$C$223</c:f>
              <c:numCache>
                <c:formatCode>General</c:formatCode>
                <c:ptCount val="5"/>
                <c:pt idx="0">
                  <c:v>597</c:v>
                </c:pt>
                <c:pt idx="1">
                  <c:v>578</c:v>
                </c:pt>
                <c:pt idx="2">
                  <c:v>688</c:v>
                </c:pt>
                <c:pt idx="3">
                  <c:v>790</c:v>
                </c:pt>
                <c:pt idx="4">
                  <c:v>666</c:v>
                </c:pt>
              </c:numCache>
            </c:numRef>
          </c:val>
        </c:ser>
        <c:ser>
          <c:idx val="2"/>
          <c:order val="2"/>
          <c:tx>
            <c:strRef>
              <c:f>'2017год'!$D$218</c:f>
              <c:strCache>
                <c:ptCount val="1"/>
                <c:pt idx="0">
                  <c:v>устных  обращений</c:v>
                </c:pt>
              </c:strCache>
            </c:strRef>
          </c:tx>
          <c:dLbls>
            <c:dLbl>
              <c:idx val="0"/>
              <c:layout>
                <c:manualLayout>
                  <c:x val="-5.5077452667814102E-2"/>
                  <c:y val="-4.5034172020912332E-2"/>
                </c:manualLayout>
              </c:layout>
              <c:dLblPos val="r"/>
              <c:showVal val="1"/>
            </c:dLbl>
            <c:dLbl>
              <c:idx val="1"/>
              <c:layout>
                <c:manualLayout>
                  <c:x val="-4.8192771084337387E-2"/>
                  <c:y val="-5.146762516675682E-2"/>
                </c:manualLayout>
              </c:layout>
              <c:dLblPos val="r"/>
              <c:showVal val="1"/>
            </c:dLbl>
            <c:dLbl>
              <c:idx val="2"/>
              <c:layout>
                <c:manualLayout>
                  <c:x val="-5.9667240390132013E-2"/>
                  <c:y val="-5.1467625166756882E-2"/>
                </c:manualLayout>
              </c:layout>
              <c:dLblPos val="r"/>
              <c:showVal val="1"/>
            </c:dLbl>
            <c:dLbl>
              <c:idx val="3"/>
              <c:layout>
                <c:manualLayout>
                  <c:x val="-6.8846815834767636E-2"/>
                  <c:y val="-4.8250898593834489E-2"/>
                </c:manualLayout>
              </c:layout>
              <c:dLblPos val="r"/>
              <c:showVal val="1"/>
            </c:dLbl>
            <c:dLbl>
              <c:idx val="4"/>
              <c:layout>
                <c:manualLayout>
                  <c:x val="-5.7372346528972953E-2"/>
                  <c:y val="-4.8250898593834551E-2"/>
                </c:manualLayout>
              </c:layout>
              <c:dLblPos val="r"/>
              <c:showVal val="1"/>
            </c:dLbl>
            <c:txPr>
              <a:bodyPr/>
              <a:lstStyle/>
              <a:p>
                <a:pPr>
                  <a:defRPr sz="1399" baseline="0"/>
                </a:pPr>
                <a:endParaRPr lang="ru-RU"/>
              </a:p>
            </c:txPr>
            <c:showVal val="1"/>
          </c:dLbls>
          <c:cat>
            <c:strRef>
              <c:f>'2017год'!$A$219:$A$223</c:f>
              <c:strCache>
                <c:ptCount val="5"/>
                <c:pt idx="0">
                  <c:v>2013год</c:v>
                </c:pt>
                <c:pt idx="1">
                  <c:v>2014год</c:v>
                </c:pt>
                <c:pt idx="2">
                  <c:v>2015год</c:v>
                </c:pt>
                <c:pt idx="3">
                  <c:v>2016год</c:v>
                </c:pt>
                <c:pt idx="4">
                  <c:v>2017год</c:v>
                </c:pt>
              </c:strCache>
            </c:strRef>
          </c:cat>
          <c:val>
            <c:numRef>
              <c:f>'2017год'!$D$219:$D$223</c:f>
              <c:numCache>
                <c:formatCode>General</c:formatCode>
                <c:ptCount val="5"/>
                <c:pt idx="0">
                  <c:v>1292</c:v>
                </c:pt>
                <c:pt idx="1">
                  <c:v>1195</c:v>
                </c:pt>
                <c:pt idx="2">
                  <c:v>1202</c:v>
                </c:pt>
                <c:pt idx="3">
                  <c:v>1576</c:v>
                </c:pt>
                <c:pt idx="4">
                  <c:v>1770</c:v>
                </c:pt>
              </c:numCache>
            </c:numRef>
          </c:val>
        </c:ser>
        <c:marker val="1"/>
        <c:axId val="92922624"/>
        <c:axId val="92924160"/>
      </c:lineChart>
      <c:catAx>
        <c:axId val="92922624"/>
        <c:scaling>
          <c:orientation val="minMax"/>
        </c:scaling>
        <c:axPos val="b"/>
        <c:numFmt formatCode="General" sourceLinked="1"/>
        <c:tickLblPos val="nextTo"/>
        <c:txPr>
          <a:bodyPr/>
          <a:lstStyle/>
          <a:p>
            <a:pPr>
              <a:defRPr sz="1199" baseline="0"/>
            </a:pPr>
            <a:endParaRPr lang="ru-RU"/>
          </a:p>
        </c:txPr>
        <c:crossAx val="92924160"/>
        <c:crosses val="autoZero"/>
        <c:auto val="1"/>
        <c:lblAlgn val="ctr"/>
        <c:lblOffset val="100"/>
      </c:catAx>
      <c:valAx>
        <c:axId val="92924160"/>
        <c:scaling>
          <c:orientation val="minMax"/>
        </c:scaling>
        <c:axPos val="l"/>
        <c:majorGridlines/>
        <c:numFmt formatCode="General" sourceLinked="1"/>
        <c:tickLblPos val="nextTo"/>
        <c:crossAx val="92922624"/>
        <c:crosses val="autoZero"/>
        <c:crossBetween val="between"/>
      </c:valAx>
    </c:plotArea>
    <c:legend>
      <c:legendPos val="r"/>
      <c:txPr>
        <a:bodyPr/>
        <a:lstStyle/>
        <a:p>
          <a:pPr>
            <a:defRPr sz="1199" baseline="0"/>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percentStacked"/>
        <c:ser>
          <c:idx val="0"/>
          <c:order val="0"/>
          <c:tx>
            <c:strRef>
              <c:f>'2017год'!$B$240</c:f>
              <c:strCache>
                <c:ptCount val="1"/>
                <c:pt idx="0">
                  <c:v>Розничная  торговля</c:v>
                </c:pt>
              </c:strCache>
            </c:strRef>
          </c:tx>
          <c:dLbls>
            <c:txPr>
              <a:bodyPr/>
              <a:lstStyle/>
              <a:p>
                <a:pPr>
                  <a:defRPr sz="1400" baseline="0"/>
                </a:pPr>
                <a:endParaRPr lang="ru-RU"/>
              </a:p>
            </c:txPr>
            <c:showVal val="1"/>
          </c:dLbls>
          <c:cat>
            <c:strRef>
              <c:f>'2017год'!$A$241:$A$245</c:f>
              <c:strCache>
                <c:ptCount val="5"/>
                <c:pt idx="0">
                  <c:v>2013год</c:v>
                </c:pt>
                <c:pt idx="1">
                  <c:v>2014год</c:v>
                </c:pt>
                <c:pt idx="2">
                  <c:v>2015год</c:v>
                </c:pt>
                <c:pt idx="3">
                  <c:v>2016год</c:v>
                </c:pt>
                <c:pt idx="4">
                  <c:v>2017год</c:v>
                </c:pt>
              </c:strCache>
            </c:strRef>
          </c:cat>
          <c:val>
            <c:numRef>
              <c:f>'2017год'!$B$241:$B$245</c:f>
              <c:numCache>
                <c:formatCode>General</c:formatCode>
                <c:ptCount val="5"/>
                <c:pt idx="0">
                  <c:v>73</c:v>
                </c:pt>
                <c:pt idx="1">
                  <c:v>76</c:v>
                </c:pt>
                <c:pt idx="2">
                  <c:v>71</c:v>
                </c:pt>
                <c:pt idx="3">
                  <c:v>73</c:v>
                </c:pt>
                <c:pt idx="4">
                  <c:v>70</c:v>
                </c:pt>
              </c:numCache>
            </c:numRef>
          </c:val>
        </c:ser>
        <c:ser>
          <c:idx val="1"/>
          <c:order val="1"/>
          <c:tx>
            <c:strRef>
              <c:f>'2017год'!$C$240</c:f>
              <c:strCache>
                <c:ptCount val="1"/>
                <c:pt idx="0">
                  <c:v>Услуги</c:v>
                </c:pt>
              </c:strCache>
            </c:strRef>
          </c:tx>
          <c:dLbls>
            <c:txPr>
              <a:bodyPr/>
              <a:lstStyle/>
              <a:p>
                <a:pPr>
                  <a:defRPr sz="1400" baseline="0"/>
                </a:pPr>
                <a:endParaRPr lang="ru-RU"/>
              </a:p>
            </c:txPr>
            <c:showVal val="1"/>
          </c:dLbls>
          <c:cat>
            <c:strRef>
              <c:f>'2017год'!$A$241:$A$245</c:f>
              <c:strCache>
                <c:ptCount val="5"/>
                <c:pt idx="0">
                  <c:v>2013год</c:v>
                </c:pt>
                <c:pt idx="1">
                  <c:v>2014год</c:v>
                </c:pt>
                <c:pt idx="2">
                  <c:v>2015год</c:v>
                </c:pt>
                <c:pt idx="3">
                  <c:v>2016год</c:v>
                </c:pt>
                <c:pt idx="4">
                  <c:v>2017год</c:v>
                </c:pt>
              </c:strCache>
            </c:strRef>
          </c:cat>
          <c:val>
            <c:numRef>
              <c:f>'2017год'!$C$241:$C$245</c:f>
              <c:numCache>
                <c:formatCode>General</c:formatCode>
                <c:ptCount val="5"/>
                <c:pt idx="0">
                  <c:v>27</c:v>
                </c:pt>
                <c:pt idx="1">
                  <c:v>24</c:v>
                </c:pt>
                <c:pt idx="2">
                  <c:v>29</c:v>
                </c:pt>
                <c:pt idx="3">
                  <c:v>27</c:v>
                </c:pt>
                <c:pt idx="4">
                  <c:v>30</c:v>
                </c:pt>
              </c:numCache>
            </c:numRef>
          </c:val>
        </c:ser>
        <c:shape val="cylinder"/>
        <c:axId val="93085056"/>
        <c:axId val="93086848"/>
        <c:axId val="0"/>
      </c:bar3DChart>
      <c:catAx>
        <c:axId val="93085056"/>
        <c:scaling>
          <c:orientation val="minMax"/>
        </c:scaling>
        <c:axPos val="b"/>
        <c:numFmt formatCode="General" sourceLinked="1"/>
        <c:tickLblPos val="nextTo"/>
        <c:txPr>
          <a:bodyPr/>
          <a:lstStyle/>
          <a:p>
            <a:pPr>
              <a:defRPr sz="1200" baseline="0"/>
            </a:pPr>
            <a:endParaRPr lang="ru-RU"/>
          </a:p>
        </c:txPr>
        <c:crossAx val="93086848"/>
        <c:crosses val="autoZero"/>
        <c:auto val="1"/>
        <c:lblAlgn val="ctr"/>
        <c:lblOffset val="100"/>
      </c:catAx>
      <c:valAx>
        <c:axId val="93086848"/>
        <c:scaling>
          <c:orientation val="minMax"/>
        </c:scaling>
        <c:delete val="1"/>
        <c:axPos val="l"/>
        <c:numFmt formatCode="0%" sourceLinked="1"/>
        <c:tickLblPos val="none"/>
        <c:crossAx val="93085056"/>
        <c:crosses val="autoZero"/>
        <c:crossBetween val="between"/>
      </c:valAx>
      <c:spPr>
        <a:noFill/>
        <a:ln w="25391">
          <a:noFill/>
        </a:ln>
      </c:spPr>
    </c:plotArea>
    <c:legend>
      <c:legendPos val="b"/>
      <c:txPr>
        <a:bodyPr/>
        <a:lstStyle/>
        <a:p>
          <a:pPr>
            <a:defRPr sz="1200" baseline="0"/>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dLbls>
            <c:txPr>
              <a:bodyPr/>
              <a:lstStyle/>
              <a:p>
                <a:pPr>
                  <a:defRPr sz="1399" baseline="0"/>
                </a:pPr>
                <a:endParaRPr lang="ru-RU"/>
              </a:p>
            </c:txPr>
            <c:showVal val="1"/>
            <c:showLeaderLines val="1"/>
          </c:dLbls>
          <c:cat>
            <c:strRef>
              <c:f>'2017год'!$A$266:$A$269</c:f>
              <c:strCache>
                <c:ptCount val="4"/>
                <c:pt idx="0">
                  <c:v>продовольственными товарами</c:v>
                </c:pt>
                <c:pt idx="1">
                  <c:v>в случае заключения договора с использованием дистанционных каналов («Интернет», мобильные приложения)</c:v>
                </c:pt>
                <c:pt idx="2">
                  <c:v>по образцам</c:v>
                </c:pt>
                <c:pt idx="3">
                  <c:v>непродовольственными товарами</c:v>
                </c:pt>
              </c:strCache>
            </c:strRef>
          </c:cat>
          <c:val>
            <c:numRef>
              <c:f>'2017год'!$B$266:$B$269</c:f>
              <c:numCache>
                <c:formatCode>General</c:formatCode>
                <c:ptCount val="4"/>
                <c:pt idx="0">
                  <c:v>3</c:v>
                </c:pt>
                <c:pt idx="1">
                  <c:v>5</c:v>
                </c:pt>
                <c:pt idx="2">
                  <c:v>8</c:v>
                </c:pt>
                <c:pt idx="3">
                  <c:v>84</c:v>
                </c:pt>
              </c:numCache>
            </c:numRef>
          </c:val>
        </c:ser>
      </c:pie3DChart>
      <c:spPr>
        <a:noFill/>
        <a:ln w="25385">
          <a:noFill/>
        </a:ln>
      </c:spPr>
    </c:plotArea>
    <c:legend>
      <c:legendPos val="b"/>
      <c:txPr>
        <a:bodyPr/>
        <a:lstStyle/>
        <a:p>
          <a:pPr>
            <a:defRPr sz="1199" baseline="0"/>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'2017год'!$A$278</c:f>
              <c:strCache>
                <c:ptCount val="1"/>
                <c:pt idx="0">
                  <c:v>2013год</c:v>
                </c:pt>
              </c:strCache>
            </c:strRef>
          </c:tx>
          <c:dLbls>
            <c:showVal val="1"/>
          </c:dLbls>
          <c:cat>
            <c:strRef>
              <c:f>'2017год'!$B$277:$H$277</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'2017год'!$B$278:$H$278</c:f>
              <c:numCache>
                <c:formatCode>0</c:formatCode>
                <c:ptCount val="7"/>
                <c:pt idx="0">
                  <c:v>27</c:v>
                </c:pt>
                <c:pt idx="1">
                  <c:v>2</c:v>
                </c:pt>
                <c:pt idx="2">
                  <c:v>3</c:v>
                </c:pt>
                <c:pt idx="3">
                  <c:v>8</c:v>
                </c:pt>
                <c:pt idx="4">
                  <c:v>2</c:v>
                </c:pt>
                <c:pt idx="5">
                  <c:v>13.9</c:v>
                </c:pt>
                <c:pt idx="6">
                  <c:v>30</c:v>
                </c:pt>
              </c:numCache>
            </c:numRef>
          </c:val>
        </c:ser>
        <c:ser>
          <c:idx val="1"/>
          <c:order val="1"/>
          <c:tx>
            <c:strRef>
              <c:f>'2017год'!$A$279</c:f>
              <c:strCache>
                <c:ptCount val="1"/>
                <c:pt idx="0">
                  <c:v>2014год</c:v>
                </c:pt>
              </c:strCache>
            </c:strRef>
          </c:tx>
          <c:dLbls>
            <c:dLbl>
              <c:idx val="3"/>
              <c:layout>
                <c:manualLayout>
                  <c:x val="7.6190476190476208E-3"/>
                  <c:y val="0"/>
                </c:manualLayout>
              </c:layout>
              <c:spPr/>
              <c:txPr>
                <a:bodyPr/>
                <a:lstStyle/>
                <a:p>
                  <a:pPr>
                    <a:defRPr/>
                  </a:pPr>
                  <a:endParaRPr lang="ru-RU"/>
                </a:p>
              </c:txPr>
              <c:showVal val="1"/>
            </c:dLbl>
            <c:showVal val="1"/>
          </c:dLbls>
          <c:cat>
            <c:strRef>
              <c:f>'2017год'!$B$277:$H$277</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'2017год'!$B$279:$H$279</c:f>
              <c:numCache>
                <c:formatCode>0</c:formatCode>
                <c:ptCount val="7"/>
                <c:pt idx="0">
                  <c:v>19</c:v>
                </c:pt>
                <c:pt idx="1">
                  <c:v>5</c:v>
                </c:pt>
                <c:pt idx="2">
                  <c:v>4</c:v>
                </c:pt>
                <c:pt idx="3">
                  <c:v>7</c:v>
                </c:pt>
                <c:pt idx="4">
                  <c:v>4</c:v>
                </c:pt>
                <c:pt idx="5">
                  <c:v>14</c:v>
                </c:pt>
                <c:pt idx="6">
                  <c:v>27.5</c:v>
                </c:pt>
              </c:numCache>
            </c:numRef>
          </c:val>
        </c:ser>
        <c:ser>
          <c:idx val="2"/>
          <c:order val="2"/>
          <c:tx>
            <c:strRef>
              <c:f>'2017год'!$A$280</c:f>
              <c:strCache>
                <c:ptCount val="1"/>
                <c:pt idx="0">
                  <c:v>2015год</c:v>
                </c:pt>
              </c:strCache>
            </c:strRef>
          </c:tx>
          <c:dLbls>
            <c:showVal val="1"/>
          </c:dLbls>
          <c:cat>
            <c:strRef>
              <c:f>'2017год'!$B$277:$H$277</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'2017год'!$B$280:$H$280</c:f>
              <c:numCache>
                <c:formatCode>0</c:formatCode>
                <c:ptCount val="7"/>
                <c:pt idx="0">
                  <c:v>18.600000000000001</c:v>
                </c:pt>
                <c:pt idx="1">
                  <c:v>7</c:v>
                </c:pt>
                <c:pt idx="2">
                  <c:v>3.7</c:v>
                </c:pt>
                <c:pt idx="3">
                  <c:v>10</c:v>
                </c:pt>
                <c:pt idx="4">
                  <c:v>4.0999999999999996</c:v>
                </c:pt>
                <c:pt idx="5">
                  <c:v>23.9</c:v>
                </c:pt>
                <c:pt idx="6">
                  <c:v>24.6</c:v>
                </c:pt>
              </c:numCache>
            </c:numRef>
          </c:val>
        </c:ser>
        <c:ser>
          <c:idx val="3"/>
          <c:order val="3"/>
          <c:tx>
            <c:strRef>
              <c:f>'2017год'!$A$281</c:f>
              <c:strCache>
                <c:ptCount val="1"/>
                <c:pt idx="0">
                  <c:v>2016год</c:v>
                </c:pt>
              </c:strCache>
            </c:strRef>
          </c:tx>
          <c:dLbls>
            <c:dLbl>
              <c:idx val="1"/>
              <c:layout>
                <c:manualLayout>
                  <c:x val="9.5238095238095247E-3"/>
                  <c:y val="-3.2012801087326157E-3"/>
                </c:manualLayout>
              </c:layout>
              <c:spPr/>
              <c:txPr>
                <a:bodyPr/>
                <a:lstStyle/>
                <a:p>
                  <a:pPr>
                    <a:defRPr/>
                  </a:pPr>
                  <a:endParaRPr lang="ru-RU"/>
                </a:p>
              </c:txPr>
              <c:showVal val="1"/>
            </c:dLbl>
            <c:dLbl>
              <c:idx val="3"/>
              <c:layout>
                <c:manualLayout>
                  <c:x val="9.5238095238095247E-3"/>
                  <c:y val="0"/>
                </c:manualLayout>
              </c:layout>
              <c:spPr/>
              <c:txPr>
                <a:bodyPr/>
                <a:lstStyle/>
                <a:p>
                  <a:pPr>
                    <a:defRPr/>
                  </a:pPr>
                  <a:endParaRPr lang="ru-RU"/>
                </a:p>
              </c:txPr>
              <c:showVal val="1"/>
            </c:dLbl>
            <c:dLbl>
              <c:idx val="5"/>
              <c:layout>
                <c:manualLayout>
                  <c:x val="1.1428571428571436E-2"/>
                  <c:y val="0"/>
                </c:manualLayout>
              </c:layout>
              <c:spPr/>
              <c:txPr>
                <a:bodyPr/>
                <a:lstStyle/>
                <a:p>
                  <a:pPr>
                    <a:defRPr/>
                  </a:pPr>
                  <a:endParaRPr lang="ru-RU"/>
                </a:p>
              </c:txPr>
              <c:showVal val="1"/>
            </c:dLbl>
            <c:dLbl>
              <c:idx val="6"/>
              <c:layout>
                <c:manualLayout>
                  <c:x val="5.7142857142857143E-3"/>
                  <c:y val="0"/>
                </c:manualLayout>
              </c:layout>
              <c:spPr/>
              <c:txPr>
                <a:bodyPr/>
                <a:lstStyle/>
                <a:p>
                  <a:pPr>
                    <a:defRPr/>
                  </a:pPr>
                  <a:endParaRPr lang="ru-RU"/>
                </a:p>
              </c:txPr>
              <c:showVal val="1"/>
            </c:dLbl>
            <c:showVal val="1"/>
          </c:dLbls>
          <c:cat>
            <c:strRef>
              <c:f>'2017год'!$B$277:$H$277</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'2017год'!$B$281:$H$281</c:f>
              <c:numCache>
                <c:formatCode>0</c:formatCode>
                <c:ptCount val="7"/>
                <c:pt idx="0">
                  <c:v>22</c:v>
                </c:pt>
                <c:pt idx="1">
                  <c:v>2</c:v>
                </c:pt>
                <c:pt idx="2">
                  <c:v>4</c:v>
                </c:pt>
                <c:pt idx="3">
                  <c:v>7</c:v>
                </c:pt>
                <c:pt idx="4">
                  <c:v>5</c:v>
                </c:pt>
                <c:pt idx="5">
                  <c:v>11</c:v>
                </c:pt>
                <c:pt idx="6">
                  <c:v>25</c:v>
                </c:pt>
              </c:numCache>
            </c:numRef>
          </c:val>
        </c:ser>
        <c:ser>
          <c:idx val="4"/>
          <c:order val="4"/>
          <c:tx>
            <c:strRef>
              <c:f>'2017год'!$A$282</c:f>
              <c:strCache>
                <c:ptCount val="1"/>
                <c:pt idx="0">
                  <c:v>2017год</c:v>
                </c:pt>
              </c:strCache>
            </c:strRef>
          </c:tx>
          <c:dLbls>
            <c:dLbl>
              <c:idx val="0"/>
              <c:layout>
                <c:manualLayout>
                  <c:x val="1.7142857142857151E-2"/>
                  <c:y val="-3.2012801087326157E-3"/>
                </c:manualLayout>
              </c:layout>
              <c:spPr/>
              <c:txPr>
                <a:bodyPr/>
                <a:lstStyle/>
                <a:p>
                  <a:pPr>
                    <a:defRPr/>
                  </a:pPr>
                  <a:endParaRPr lang="ru-RU"/>
                </a:p>
              </c:txPr>
              <c:showVal val="1"/>
            </c:dLbl>
            <c:dLbl>
              <c:idx val="1"/>
              <c:layout>
                <c:manualLayout>
                  <c:x val="1.3333333333333338E-2"/>
                  <c:y val="-3.2012801087326157E-3"/>
                </c:manualLayout>
              </c:layout>
              <c:spPr/>
              <c:txPr>
                <a:bodyPr/>
                <a:lstStyle/>
                <a:p>
                  <a:pPr>
                    <a:defRPr/>
                  </a:pPr>
                  <a:endParaRPr lang="ru-RU"/>
                </a:p>
              </c:txPr>
              <c:showVal val="1"/>
            </c:dLbl>
            <c:dLbl>
              <c:idx val="5"/>
              <c:layout>
                <c:manualLayout>
                  <c:x val="1.1428571428571436E-2"/>
                  <c:y val="0"/>
                </c:manualLayout>
              </c:layout>
              <c:spPr/>
              <c:txPr>
                <a:bodyPr/>
                <a:lstStyle/>
                <a:p>
                  <a:pPr>
                    <a:defRPr/>
                  </a:pPr>
                  <a:endParaRPr lang="ru-RU"/>
                </a:p>
              </c:txPr>
              <c:showVal val="1"/>
            </c:dLbl>
            <c:dLbl>
              <c:idx val="6"/>
              <c:layout>
                <c:manualLayout>
                  <c:x val="2.4761904761904773E-2"/>
                  <c:y val="0"/>
                </c:manualLayout>
              </c:layout>
              <c:spPr/>
              <c:txPr>
                <a:bodyPr/>
                <a:lstStyle/>
                <a:p>
                  <a:pPr>
                    <a:defRPr/>
                  </a:pPr>
                  <a:endParaRPr lang="ru-RU"/>
                </a:p>
              </c:txPr>
              <c:showVal val="1"/>
            </c:dLbl>
            <c:showVal val="1"/>
          </c:dLbls>
          <c:cat>
            <c:strRef>
              <c:f>'2017год'!$B$277:$H$277</c:f>
              <c:strCache>
                <c:ptCount val="7"/>
                <c:pt idx="0">
                  <c:v>ЖКУ</c:v>
                </c:pt>
                <c:pt idx="1">
                  <c:v>Туристические  услуги</c:v>
                </c:pt>
                <c:pt idx="2">
                  <c:v>медицинские  услуги</c:v>
                </c:pt>
                <c:pt idx="3">
                  <c:v>Услуги  связи</c:v>
                </c:pt>
                <c:pt idx="4">
                  <c:v>Транспортные  услуги</c:v>
                </c:pt>
                <c:pt idx="5">
                  <c:v>Финансовые  услуги</c:v>
                </c:pt>
                <c:pt idx="6">
                  <c:v>Бытовые  услуги</c:v>
                </c:pt>
              </c:strCache>
            </c:strRef>
          </c:cat>
          <c:val>
            <c:numRef>
              <c:f>'2017год'!$B$282:$H$282</c:f>
              <c:numCache>
                <c:formatCode>0</c:formatCode>
                <c:ptCount val="7"/>
                <c:pt idx="0">
                  <c:v>17</c:v>
                </c:pt>
                <c:pt idx="1">
                  <c:v>2</c:v>
                </c:pt>
                <c:pt idx="2">
                  <c:v>6</c:v>
                </c:pt>
                <c:pt idx="3">
                  <c:v>11</c:v>
                </c:pt>
                <c:pt idx="4">
                  <c:v>5</c:v>
                </c:pt>
                <c:pt idx="5">
                  <c:v>9</c:v>
                </c:pt>
                <c:pt idx="6">
                  <c:v>26</c:v>
                </c:pt>
              </c:numCache>
            </c:numRef>
          </c:val>
        </c:ser>
        <c:shape val="box"/>
        <c:axId val="93379968"/>
        <c:axId val="93385856"/>
        <c:axId val="0"/>
      </c:bar3DChart>
      <c:catAx>
        <c:axId val="93379968"/>
        <c:scaling>
          <c:orientation val="minMax"/>
        </c:scaling>
        <c:axPos val="b"/>
        <c:numFmt formatCode="0" sourceLinked="1"/>
        <c:tickLblPos val="nextTo"/>
        <c:crossAx val="93385856"/>
        <c:crosses val="autoZero"/>
        <c:auto val="1"/>
        <c:lblAlgn val="ctr"/>
        <c:lblOffset val="100"/>
      </c:catAx>
      <c:valAx>
        <c:axId val="93385856"/>
        <c:scaling>
          <c:orientation val="minMax"/>
        </c:scaling>
        <c:delete val="1"/>
        <c:axPos val="l"/>
        <c:numFmt formatCode="0" sourceLinked="1"/>
        <c:tickLblPos val="none"/>
        <c:crossAx val="93379968"/>
        <c:crosses val="autoZero"/>
        <c:crossBetween val="between"/>
      </c:valAx>
      <c:spPr>
        <a:noFill/>
        <a:ln w="25379">
          <a:noFill/>
        </a:ln>
      </c:spPr>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21</Pages>
  <Words>4177</Words>
  <Characters>23815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2018-02-21T13:05:00Z</dcterms:created>
  <dcterms:modified xsi:type="dcterms:W3CDTF">2018-03-15T07:56:00Z</dcterms:modified>
</cp:coreProperties>
</file>