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outlineLvl w:val="3"/>
        <w:rPr>
          <w:rFonts w:ascii="Times New Roman" w:hAnsi="Times New Roman"/>
          <w:b w:val="1"/>
          <w:color w:val="1B669D"/>
          <w:sz w:val="21"/>
        </w:rPr>
      </w:pPr>
      <w:r>
        <w:rPr>
          <w:rFonts w:ascii="Times New Roman" w:hAnsi="Times New Roman"/>
          <w:b w:val="1"/>
          <w:color w:val="1B669D"/>
          <w:sz w:val="21"/>
        </w:rPr>
        <w:t>Предоставление лицензии на деятельность в области использования источников ионизирующего излучения (генерирующих)</w:t>
      </w:r>
      <w:bookmarkStart w:id="1" w:name="_GoBack"/>
      <w:bookmarkEnd w:id="1"/>
    </w:p>
    <w:p w14:paraId="02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1"/>
        </w:rPr>
      </w:pPr>
    </w:p>
    <w:tbl>
      <w:tblPr>
        <w:tblStyle w:val="Style_1"/>
        <w:tblLayout w:type="fixed"/>
        <w:tblCellMar>
          <w:top w:type="dxa" w:w="75"/>
          <w:left w:type="dxa" w:w="75"/>
          <w:bottom w:type="dxa" w:w="75"/>
          <w:right w:type="dxa" w:w="75"/>
        </w:tblCellMar>
      </w:tblPr>
      <w:tblGrid>
        <w:gridCol w:w="910"/>
        <w:gridCol w:w="10500"/>
      </w:tblGrid>
      <w:tr>
        <w:tc>
          <w:tcPr>
            <w:tcW w:type="dxa" w:w="91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3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Получатели услуги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4000000">
            <w:pPr>
              <w:numPr>
                <w:ilvl w:val="0"/>
                <w:numId w:val="1"/>
              </w:numPr>
              <w:spacing w:after="75" w:before="75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1D85B3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1D85B3"/>
                <w:sz w:val="20"/>
              </w:rPr>
              <w:instrText>HYPERLINK "https://www.rospotrebnadzor.ru/gosserv/for/11/" \o "Юридические лица"</w:instrText>
            </w:r>
            <w:r>
              <w:rPr>
                <w:rFonts w:ascii="Times New Roman" w:hAnsi="Times New Roman"/>
                <w:color w:val="1D85B3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1D85B3"/>
                <w:sz w:val="20"/>
              </w:rPr>
              <w:t>Юридические лица</w:t>
            </w:r>
            <w:r>
              <w:rPr>
                <w:rFonts w:ascii="Times New Roman" w:hAnsi="Times New Roman"/>
                <w:color w:val="1D85B3"/>
                <w:sz w:val="20"/>
              </w:rPr>
              <w:fldChar w:fldCharType="end"/>
            </w:r>
          </w:p>
        </w:tc>
      </w:tr>
      <w:tr>
        <w:trPr>
          <w:trHeight w:hRule="atLeast" w:val="5276"/>
        </w:trPr>
        <w:tc>
          <w:tcPr>
            <w:tcW w:type="dxa" w:w="91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5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Необходимые документы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6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 заявитель в лицензирующий орган направляет документы в соответствии с Федеральным законом 99-ФЗ "О лицензировании отдельных видов деятельности"и  Положением о лицензировании,утвержденным Постановлением правительства РФ 25.01.2022г. №45</w:t>
            </w:r>
          </w:p>
          <w:p w14:paraId="07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подписанное руководителем постоянно действующего исполнительного органа юридического лица или иным лицом, имеющим право действовать от имени этого юридического лица, заявление о предоставлении лицензии по форме согласно приложению N 1 к Административному регламенту;  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2) копии документов, подтверждающих наличие у соискателя лицензии (за исключением организаций, намеренных осуществлять техническое обслуживание непосредственно в месте размещения и эксплуатации радиационных источников) на праве собственности или на ином законном основании зданий, сооружений и помещений, необходимых для осуществления лицензируемой деятельности, права на которые не зарегистрированы в Едином государственном реестре прав на недвижимое имущество и сделок с ним (если такие права зарегистрированы в указанном реестре, сведения об этих зданиях, сооружениях и помещениях); 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3) копии документов, подтверждающих наличие у соискателя лицензии оборудования, в том числе радиационных источников, принадлежащих ему на праве собственности или на ином законном основании и необходимых для выполнения работ (оказания услуг), и копии технической документации на эти радиационные источники (для организаций, намеренных осуществлять эксплуатацию, производство и хранение источников ионизирующего излучения (генерирующих);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4) копии документов, подтверждающих наличие у работников, деятельность которых непосредственно связана с источниками ионизирующего излучения (генерирующими), высшего образования или среднего профессионального образования и профессионального обучения по радиационной безопасности, соответствующих требованиям и характеру работ (услуг);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5) опись прилагаемых документов. 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Заявления и документы (сведения)  заявитель направляет в лицензирующий орган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 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</w:tr>
      <w:tr>
        <w:tc>
          <w:tcPr>
            <w:tcW w:type="dxa" w:w="91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8000000">
            <w:pPr>
              <w:spacing w:after="0" w:line="240" w:lineRule="auto"/>
              <w:ind w:firstLine="0" w:left="-99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Стоимось Стоимо</w:t>
            </w:r>
          </w:p>
          <w:p w14:paraId="09000000">
            <w:pPr>
              <w:spacing w:after="0" w:line="240" w:lineRule="auto"/>
              <w:ind w:firstLine="0" w:left="-99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сть</w:t>
            </w:r>
          </w:p>
          <w:p w14:paraId="0A000000">
            <w:pPr>
              <w:spacing w:after="0" w:line="240" w:lineRule="auto"/>
              <w:ind w:firstLine="0" w:left="-99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услуги          </w:t>
            </w:r>
          </w:p>
          <w:p w14:paraId="0B000000">
            <w:pPr>
              <w:spacing w:after="0" w:line="240" w:lineRule="auto"/>
              <w:ind w:firstLine="992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</w:t>
            </w:r>
          </w:p>
          <w:p w14:paraId="0C000000">
            <w:pPr>
              <w:spacing w:after="0" w:line="240" w:lineRule="auto"/>
              <w:ind w:firstLine="0" w:left="-99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</w:p>
          <w:p w14:paraId="0D000000">
            <w:pPr>
              <w:spacing w:after="0" w:line="240" w:lineRule="auto"/>
              <w:ind w:firstLine="0" w:left="-99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E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Государственная пошлина за предоставление лицензии - 7500 рублей. КБК 14110807081010300110. </w:t>
            </w:r>
          </w:p>
          <w:p w14:paraId="0F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</w:t>
            </w:r>
            <w:r>
              <w:rPr>
                <w:rFonts w:ascii="Times New Roman" w:hAnsi="Times New Roman"/>
                <w:sz w:val="20"/>
              </w:rPr>
              <w:t xml:space="preserve">дарственная пошлина уплачивается до подачи соответствующих заявлений и (или) документов.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Размер платы за предоставление выписки из реестра лицензий на бумажном носителе (далее - плата) составляет 3 000 рублей (КБК 14111301991016000130).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Размер платы за предоставление выписки из реестра лицензий на бумажном носителе, порядок ее взимания, случаи и порядок возврата регулируются приказом Минэкономразвития России от 06.11.2020 N 742 (зарегистрирован Минюстом России 10.12.2020, регистрационный номер 61378).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Выписка из реестра лицензий в форме электронного документа, подписанного усиленной квалифицированной электронной подписью </w:t>
            </w:r>
            <w:r>
              <w:rPr>
                <w:rFonts w:ascii="Times New Roman" w:hAnsi="Times New Roman"/>
                <w:sz w:val="20"/>
              </w:rPr>
              <w:t>Роспотребнадзора</w:t>
            </w:r>
            <w:r>
              <w:rPr>
                <w:rFonts w:ascii="Times New Roman" w:hAnsi="Times New Roman"/>
                <w:sz w:val="20"/>
              </w:rPr>
              <w:t xml:space="preserve"> (его территориального органа), предоставляется без взимания платы (часть 3 статьи 10 Федерального закона № 99-ФЗ). </w:t>
            </w:r>
          </w:p>
        </w:tc>
      </w:tr>
      <w:tr>
        <w:tc>
          <w:tcPr>
            <w:tcW w:type="dxa" w:w="91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10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Cрок</w:t>
            </w:r>
            <w:r>
              <w:rPr>
                <w:rFonts w:ascii="Times New Roman" w:hAnsi="Times New Roman"/>
                <w:sz w:val="20"/>
              </w:rPr>
              <w:t xml:space="preserve"> оказания услуги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11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Срок принятия решения о предоставлении (об отказе в предоставлении) лицензии не может превышать 15 рабочих дней со дня приема лицензирующим органом надлежащим образом оформленного заявления о предоставлении лицензии и прилагаемых к нему документов, предусмотренных пунктом 19 Административного регламента. </w:t>
            </w:r>
          </w:p>
        </w:tc>
      </w:tr>
      <w:tr>
        <w:tc>
          <w:tcPr>
            <w:tcW w:type="dxa" w:w="91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12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 оказания услуги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13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Результатами предоставления государственной услуги является предоставление лицензии.  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Решение о предоставлении лицензии или об отказе в ее предоставлении оформляется приказом лицензирующего органа о предоставлении лицензии или об отказе в ее предоставлении. 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Запись о предоставлении лицензии вносится в реестр лицензий в день регистрации приказа. 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В течение 3 рабочих дней после дня внесения записи о предоставлении лицензии в реестр лицензий лицензирующий орган направляет уведомление о предоставлении лицензии соискателю лицензии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 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В случае если в заявлении о предоставлении лицензии указана необходимость получения выписки из реестра лицензий в форме электронного документа, лицензирующий орган одновременно с направлением уведомления о предоставлении лицензии направляет соискателю лицензии выписку из реестра лицензий в форме электронного документа, подписанного усиленной квалифицированной электронной подписью. 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В случае если в заявлении о предоставлении лицензии указана необходимость получения выписки из реестра лицензий на бумажном носителе, лицензирующий орган одновременно с направлением уведомления о предоставлении лицензии направляет соискателю лицензии выписку из реестра лицензий заказным почтовым отправлением с уведомлением </w:t>
            </w:r>
          </w:p>
        </w:tc>
      </w:tr>
    </w:tbl>
    <w:p w14:paraId="14000000"/>
    <w:sectPr>
      <w:pgSz w:h="16848" w:w="11908"/>
      <w:pgMar w:bottom="510" w:footer="708" w:gutter="0" w:header="708" w:left="454" w:right="850" w:top="51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2022-10-14T09:29:16Z</dcterms:modified>
</cp:coreProperties>
</file>